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media/image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tulo"/>
      </w:pPr>
      <w:r>
        <w:t xml:space="preserve">Política de Gestão de Chaves do Banco de Dados</w:t>
      </w:r>
    </w:p>
    <w:bookmarkStart w:id="50" w:name="X067947ae45cba3f735f747c6d56436da4ad5767"/>
    <w:p>
      <w:pPr>
        <w:pStyle w:val="Ttulo1"/>
      </w:pPr>
      <w:r>
        <w:t xml:space="preserve">Política de Gestão de Chaves do Banco de Dados</w:t>
      </w:r>
    </w:p>
    <w:p>
      <w:pPr>
        <w:pStyle w:val="FirstParagraph"/>
      </w:pPr>
      <w:r>
        <w:rPr>
          <w:b/>
          <w:bCs/>
        </w:rPr>
        <w:t xml:space="preserve">AUTOR:</w:t>
      </w:r>
      <w:r>
        <w:t xml:space="preserve"> </w:t>
      </w:r>
      <w:r>
        <w:t xml:space="preserve">Diogo Martins</w:t>
      </w:r>
      <w:r>
        <w:t xml:space="preserve"> </w:t>
      </w:r>
      <w:r>
        <w:rPr>
          <w:b/>
          <w:bCs/>
        </w:rPr>
        <w:t xml:space="preserve">MODELO OPERACIONAL:</w:t>
      </w:r>
      <w:r>
        <w:t xml:space="preserve"> </w:t>
      </w:r>
      <w:r>
        <w:t xml:space="preserve">SaaS-first (sem banco de dados próprio)</w:t>
      </w:r>
    </w:p>
    <w:bookmarkStart w:id="32" w:name="política"/>
    <w:p>
      <w:pPr>
        <w:pStyle w:val="Ttulo2"/>
      </w:pPr>
      <w:r>
        <w:t xml:space="preserve">POLÍTICA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Área Responsável</w:t>
            </w:r>
          </w:p>
        </w:tc>
        <w:tc>
          <w:tcPr/>
          <w:p>
            <w:pPr>
              <w:pStyle w:val="Compact"/>
            </w:pPr>
            <w:r>
              <w:t xml:space="preserve">Tecnologia da Informação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VERSÃO</w:t>
            </w:r>
          </w:p>
        </w:tc>
        <w:tc>
          <w:tcPr/>
          <w:p>
            <w:pPr>
              <w:pStyle w:val="Compact"/>
            </w:pPr>
            <w:r>
              <w:t xml:space="preserve">Responsável</w:t>
            </w:r>
          </w:p>
        </w:tc>
        <w:tc>
          <w:tcPr/>
          <w:p>
            <w:pPr>
              <w:pStyle w:val="Compact"/>
            </w:pPr>
            <w:r>
              <w:t xml:space="preserve">Aprovação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[DD/MM/AAAA]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Diogo Martins da Silva</w:t>
            </w:r>
          </w:p>
        </w:tc>
        <w:tc>
          <w:tcPr/>
          <w:p>
            <w:pPr>
              <w:pStyle w:val="Compact"/>
            </w:pPr>
            <w:r>
              <w:t xml:space="preserve">Fernando Mancuso</w:t>
            </w:r>
          </w:p>
        </w:tc>
      </w:tr>
    </w:tbl>
    <w:bookmarkStart w:id="31" w:name="histórico-de-revisões"/>
    <w:p>
      <w:pPr>
        <w:pStyle w:val="Ttulo3"/>
      </w:pPr>
      <w:r>
        <w:t xml:space="preserve">Histórico de Revisões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08"/>
        <w:gridCol w:w="1056"/>
        <w:gridCol w:w="1232"/>
        <w:gridCol w:w="422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Versão</w:t>
            </w:r>
          </w:p>
        </w:tc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  <w:tc>
          <w:tcPr/>
          <w:p>
            <w:pPr>
              <w:pStyle w:val="Compact"/>
            </w:pPr>
            <w:r>
              <w:t xml:space="preserve">Descrição da Alteração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[DD/MM/AAAA]</w:t>
            </w:r>
          </w:p>
        </w:tc>
        <w:tc>
          <w:tcPr/>
          <w:p>
            <w:pPr>
              <w:pStyle w:val="Compact"/>
            </w:pPr>
            <w:r>
              <w:t xml:space="preserve">Diogo Martins da Silva</w:t>
            </w:r>
          </w:p>
        </w:tc>
        <w:tc>
          <w:tcPr/>
          <w:p>
            <w:pPr>
              <w:pStyle w:val="Compact"/>
            </w:pPr>
            <w:r>
              <w:t xml:space="preserve">Emissão inicial — modelo SaaS-first.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End w:id="32"/>
    <w:bookmarkStart w:id="33" w:name="sumário"/>
    <w:p>
      <w:pPr>
        <w:pStyle w:val="Ttulo2"/>
      </w:pPr>
      <w:r>
        <w:t xml:space="preserve">Sumário</w:t>
      </w:r>
    </w:p>
    <w:p>
      <w:pPr>
        <w:pStyle w:val="Compact"/>
        <w:numPr>
          <w:ilvl w:val="0"/>
          <w:numId w:val="1001"/>
        </w:numPr>
      </w:pPr>
      <w:r>
        <w:t xml:space="preserve">Introdução</w:t>
      </w:r>
    </w:p>
    <w:p>
      <w:pPr>
        <w:pStyle w:val="Compact"/>
        <w:numPr>
          <w:ilvl w:val="0"/>
          <w:numId w:val="1001"/>
        </w:numPr>
      </w:pPr>
      <w:r>
        <w:t xml:space="preserve">Finalidade</w:t>
      </w:r>
    </w:p>
    <w:p>
      <w:pPr>
        <w:pStyle w:val="Compact"/>
        <w:numPr>
          <w:ilvl w:val="0"/>
          <w:numId w:val="1001"/>
        </w:numPr>
      </w:pPr>
      <w:r>
        <w:t xml:space="preserve">Abrangência</w:t>
      </w:r>
    </w:p>
    <w:p>
      <w:pPr>
        <w:pStyle w:val="Compact"/>
        <w:numPr>
          <w:ilvl w:val="0"/>
          <w:numId w:val="1001"/>
        </w:numPr>
      </w:pPr>
      <w:r>
        <w:t xml:space="preserve">Glossário</w:t>
      </w:r>
    </w:p>
    <w:p>
      <w:pPr>
        <w:pStyle w:val="Compact"/>
        <w:numPr>
          <w:ilvl w:val="0"/>
          <w:numId w:val="1001"/>
        </w:numPr>
      </w:pPr>
      <w:r>
        <w:t xml:space="preserve">Referências Normativas</w:t>
      </w:r>
    </w:p>
    <w:p>
      <w:pPr>
        <w:pStyle w:val="Compact"/>
        <w:numPr>
          <w:ilvl w:val="0"/>
          <w:numId w:val="1001"/>
        </w:numPr>
      </w:pPr>
      <w:r>
        <w:t xml:space="preserve">Modelo Operacional da Maju</w:t>
      </w:r>
    </w:p>
    <w:p>
      <w:pPr>
        <w:pStyle w:val="Compact"/>
        <w:numPr>
          <w:ilvl w:val="0"/>
          <w:numId w:val="1001"/>
        </w:numPr>
      </w:pPr>
      <w:r>
        <w:t xml:space="preserve">Identificação dos Bancos de Dados em Uso</w:t>
      </w:r>
    </w:p>
    <w:p>
      <w:pPr>
        <w:pStyle w:val="Compact"/>
        <w:numPr>
          <w:ilvl w:val="0"/>
          <w:numId w:val="1001"/>
        </w:numPr>
      </w:pPr>
      <w:r>
        <w:t xml:space="preserve">Gestão de Chaves — Por Plataforma SaaS</w:t>
      </w:r>
    </w:p>
    <w:p>
      <w:pPr>
        <w:pStyle w:val="Compact"/>
        <w:numPr>
          <w:ilvl w:val="0"/>
          <w:numId w:val="1001"/>
        </w:numPr>
      </w:pPr>
      <w:r>
        <w:t xml:space="preserve">Garantia Contratual e Certificações</w:t>
      </w:r>
    </w:p>
    <w:p>
      <w:pPr>
        <w:pStyle w:val="Compact"/>
        <w:numPr>
          <w:ilvl w:val="0"/>
          <w:numId w:val="1001"/>
        </w:numPr>
      </w:pPr>
      <w:r>
        <w:t xml:space="preserve">Plano de Evolução</w:t>
      </w:r>
    </w:p>
    <w:p>
      <w:pPr>
        <w:pStyle w:val="Compact"/>
        <w:numPr>
          <w:ilvl w:val="0"/>
          <w:numId w:val="1001"/>
        </w:numPr>
      </w:pPr>
      <w:r>
        <w:t xml:space="preserve">Papéis e Responsabilidades</w:t>
      </w:r>
    </w:p>
    <w:p>
      <w:pPr>
        <w:pStyle w:val="Compact"/>
        <w:numPr>
          <w:ilvl w:val="0"/>
          <w:numId w:val="1001"/>
        </w:numPr>
      </w:pPr>
      <w:r>
        <w:t xml:space="preserve">Revisão Periódica</w:t>
      </w:r>
    </w:p>
    <w:p>
      <w:pPr>
        <w:pStyle w:val="Compact"/>
        <w:numPr>
          <w:ilvl w:val="0"/>
          <w:numId w:val="1001"/>
        </w:numPr>
      </w:pPr>
      <w:r>
        <w:t xml:space="preserve">Desvio e Exceção</w:t>
      </w:r>
    </w:p>
    <w:p>
      <w:pPr>
        <w:pStyle w:val="Compact"/>
        <w:numPr>
          <w:ilvl w:val="0"/>
          <w:numId w:val="1001"/>
        </w:numPr>
      </w:pPr>
      <w:r>
        <w:t xml:space="preserve">Documentos Relacionados</w:t>
      </w:r>
    </w:p>
    <w:p>
      <w:r>
        <w:pict>
          <v:rect style="width:0;height:1.5pt" o:hralign="center" o:hrstd="t" o:hr="t"/>
        </w:pict>
      </w:r>
    </w:p>
    <w:bookmarkEnd w:id="33"/>
    <w:bookmarkStart w:id="34" w:name="introdução"/>
    <w:p>
      <w:pPr>
        <w:pStyle w:val="Ttulo2"/>
      </w:pPr>
      <w:r>
        <w:t xml:space="preserve">1. Introdução</w:t>
      </w:r>
    </w:p>
    <w:p>
      <w:pPr>
        <w:pStyle w:val="FirstParagraph"/>
      </w:pPr>
      <w:r>
        <w:t xml:space="preserve">A criptografia dos bancos de dados é uma das medidas técnicas mais críticas para a proteção da confidencialidade e integridade das informações corporativas. A</w:t>
      </w:r>
      <w:r>
        <w:t xml:space="preserve"> </w:t>
      </w:r>
      <w:r>
        <w:rPr>
          <w:b/>
          <w:bCs/>
        </w:rPr>
        <w:t xml:space="preserve">Maju Personalizados</w:t>
      </w:r>
      <w:r>
        <w:t xml:space="preserve"> </w:t>
      </w:r>
      <w:r>
        <w:t xml:space="preserve">opera com modelo de infraestrutura</w:t>
      </w:r>
      <w:r>
        <w:t xml:space="preserve"> </w:t>
      </w:r>
      <w:r>
        <w:rPr>
          <w:b/>
          <w:bCs/>
        </w:rPr>
        <w:t xml:space="preserve">SaaS-first</w:t>
      </w:r>
      <w:r>
        <w:t xml:space="preserve">, em que os bancos de dados que armazenam dados corporativos estão sob responsabilidade técnica de fornecedores certificados (Microsoft, Bling/LWSA). Esta política estabelece como a Maju governa a gestão de chaves criptográficas desses bancos, mesmo que a operação técnica seja delegada.</w:t>
      </w:r>
    </w:p>
    <w:bookmarkEnd w:id="34"/>
    <w:bookmarkStart w:id="35" w:name="finalidade"/>
    <w:p>
      <w:pPr>
        <w:pStyle w:val="Ttulo2"/>
      </w:pPr>
      <w:r>
        <w:t xml:space="preserve">2. Finalidade</w:t>
      </w:r>
    </w:p>
    <w:p>
      <w:pPr>
        <w:pStyle w:val="FirstParagraph"/>
      </w:pPr>
      <w:r>
        <w:t xml:space="preserve">Estabelecer diretrizes formais para:</w:t>
      </w:r>
    </w:p>
    <w:p>
      <w:pPr>
        <w:pStyle w:val="Compact"/>
        <w:numPr>
          <w:ilvl w:val="0"/>
          <w:numId w:val="1002"/>
        </w:numPr>
      </w:pPr>
      <w:r>
        <w:t xml:space="preserve">Identificar os bancos de dados que armazenam dados corporativos da Maju;</w:t>
      </w:r>
    </w:p>
    <w:p>
      <w:pPr>
        <w:pStyle w:val="Compact"/>
        <w:numPr>
          <w:ilvl w:val="0"/>
          <w:numId w:val="1002"/>
        </w:numPr>
      </w:pPr>
      <w:r>
        <w:t xml:space="preserve">Definir responsabilidades sobre a gestão das chaves desses bancos;</w:t>
      </w:r>
    </w:p>
    <w:p>
      <w:pPr>
        <w:pStyle w:val="Compact"/>
        <w:numPr>
          <w:ilvl w:val="0"/>
          <w:numId w:val="1002"/>
        </w:numPr>
      </w:pPr>
      <w:r>
        <w:t xml:space="preserve">Garantir governança contratual sobre fornecedores que operam esses bancos;</w:t>
      </w:r>
    </w:p>
    <w:p>
      <w:pPr>
        <w:pStyle w:val="Compact"/>
        <w:numPr>
          <w:ilvl w:val="0"/>
          <w:numId w:val="1002"/>
        </w:numPr>
      </w:pPr>
      <w:r>
        <w:t xml:space="preserve">Atender requisitos da ISO/IEC 27001:2022 (controles A.5.21 e A.8.24) e da LGPD (Art. 46).</w:t>
      </w:r>
    </w:p>
    <w:bookmarkEnd w:id="35"/>
    <w:bookmarkStart w:id="36" w:name="abrangência"/>
    <w:p>
      <w:pPr>
        <w:pStyle w:val="Ttulo2"/>
      </w:pPr>
      <w:r>
        <w:t xml:space="preserve">3. Abrangência</w:t>
      </w:r>
    </w:p>
    <w:p>
      <w:pPr>
        <w:pStyle w:val="FirstParagraph"/>
      </w:pPr>
      <w:r>
        <w:t xml:space="preserve">Esta política aplica-se a todos os bancos de dados que armazenam dados corporativos da Maju Personalizados, independentemente de operados internamente ou por fornecedores SaaS contratados.</w:t>
      </w:r>
    </w:p>
    <w:bookmarkEnd w:id="36"/>
    <w:bookmarkStart w:id="37" w:name="glossário"/>
    <w:p>
      <w:pPr>
        <w:pStyle w:val="Ttulo2"/>
      </w:pPr>
      <w:r>
        <w:t xml:space="preserve">4. Glossário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80"/>
        <w:gridCol w:w="48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Termo</w:t>
            </w:r>
          </w:p>
        </w:tc>
        <w:tc>
          <w:tcPr/>
          <w:p>
            <w:pPr>
              <w:pStyle w:val="Compact"/>
            </w:pPr>
            <w:r>
              <w:t xml:space="preserve">Definição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TDE</w:t>
            </w:r>
          </w:p>
        </w:tc>
        <w:tc>
          <w:tcPr/>
          <w:p>
            <w:pPr>
              <w:pStyle w:val="Compact"/>
            </w:pPr>
            <w:r>
              <w:t xml:space="preserve">Transparent Data Encryption — tecnologia que criptografa automaticamente os arquivos de banco de dados em repouso.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AES-256</w:t>
            </w:r>
          </w:p>
        </w:tc>
        <w:tc>
          <w:tcPr/>
          <w:p>
            <w:pPr>
              <w:pStyle w:val="Compact"/>
            </w:pPr>
            <w:r>
              <w:t xml:space="preserve">Algoritmo simétrico de criptografia com chave de 256 bits, padrão para criptografia em repouso.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Key Vault</w:t>
            </w:r>
          </w:p>
        </w:tc>
        <w:tc>
          <w:tcPr/>
          <w:p>
            <w:pPr>
              <w:pStyle w:val="Compact"/>
            </w:pPr>
            <w:r>
              <w:t xml:space="preserve">Serviço Microsoft de cofre de chaves criptográficas em nuvem.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CMK</w:t>
            </w:r>
          </w:p>
        </w:tc>
        <w:tc>
          <w:tcPr/>
          <w:p>
            <w:pPr>
              <w:pStyle w:val="Compact"/>
            </w:pPr>
            <w:r>
              <w:t xml:space="preserve">Customer Managed Key — chave criptográfica gerenciada pelo cliente.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FIPS 140-2 Level 2</w:t>
            </w:r>
          </w:p>
        </w:tc>
        <w:tc>
          <w:tcPr/>
          <w:p>
            <w:pPr>
              <w:pStyle w:val="Compact"/>
            </w:pPr>
            <w:r>
              <w:t xml:space="preserve">Padrão de validação criptográfica reconhecido internacionalmente.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SaaS</w:t>
            </w:r>
          </w:p>
        </w:tc>
        <w:tc>
          <w:tcPr/>
          <w:p>
            <w:pPr>
              <w:pStyle w:val="Compact"/>
            </w:pPr>
            <w:r>
              <w:t xml:space="preserve">Software as a Service — modelo em que o software é contratado como serviço.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SOC 2 Type II</w:t>
            </w:r>
          </w:p>
        </w:tc>
        <w:tc>
          <w:tcPr/>
          <w:p>
            <w:pPr>
              <w:pStyle w:val="Compact"/>
            </w:pPr>
            <w:r>
              <w:t xml:space="preserve">Relatório de auditoria que atesta efetividade de controles de segurança em fornecedores SaaS.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ISO 27001</w:t>
            </w:r>
          </w:p>
        </w:tc>
        <w:tc>
          <w:tcPr/>
          <w:p>
            <w:pPr>
              <w:pStyle w:val="Compact"/>
            </w:pPr>
            <w:r>
              <w:t xml:space="preserve">Norma internacional para sistemas de gestão de segurança da informação.</w:t>
            </w:r>
          </w:p>
        </w:tc>
      </w:tr>
    </w:tbl>
    <w:bookmarkEnd w:id="37"/>
    <w:bookmarkStart w:id="38" w:name="referências-normativas"/>
    <w:p>
      <w:pPr>
        <w:pStyle w:val="Ttulo2"/>
      </w:pPr>
      <w:r>
        <w:t xml:space="preserve">5. Referências Normativas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ISO/IEC 27001:2022 — A.5.21</w:t>
      </w:r>
      <w:r>
        <w:t xml:space="preserve"> </w:t>
      </w:r>
      <w:r>
        <w:t xml:space="preserve">— Gestão da segurança da informação na cadeia de fornecimento de TIC;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ISO/IEC 27001:2022 — A.8.24</w:t>
      </w:r>
      <w:r>
        <w:t xml:space="preserve"> </w:t>
      </w:r>
      <w:r>
        <w:t xml:space="preserve">— Uso de criptografia;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ISO/IEC 27002:2022 — Controle 8.24</w:t>
      </w:r>
      <w:r>
        <w:t xml:space="preserve"> </w:t>
      </w:r>
      <w:r>
        <w:t xml:space="preserve">— Diretrizes para uso de criptografia;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NIST SP 800-57 Part 1 Rev. 5</w:t>
      </w:r>
      <w:r>
        <w:t xml:space="preserve"> </w:t>
      </w:r>
      <w:r>
        <w:t xml:space="preserve">— Recommendation for Key Management;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LGPD — Lei 13.709/2018, Art. 46</w:t>
      </w:r>
      <w:r>
        <w:t xml:space="preserve"> </w:t>
      </w:r>
      <w:r>
        <w:t xml:space="preserve">— Medidas técnicas de segurança;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Microsoft Trust Center</w:t>
      </w:r>
      <w:r>
        <w:t xml:space="preserve"> </w:t>
      </w:r>
      <w:r>
        <w:t xml:space="preserve">— https://www.microsoft.com/trust-center;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Microsoft Service Assurance</w:t>
      </w:r>
      <w:r>
        <w:t xml:space="preserve"> </w:t>
      </w:r>
      <w:r>
        <w:t xml:space="preserve">— https://learn.microsoft.com/pt-br/compliance/assurance.</w:t>
      </w:r>
    </w:p>
    <w:p>
      <w:r>
        <w:pict>
          <v:rect style="width:0;height:1.5pt" o:hralign="center" o:hrstd="t" o:hr="t"/>
        </w:pict>
      </w:r>
    </w:p>
    <w:bookmarkEnd w:id="38"/>
    <w:bookmarkStart w:id="39" w:name="modelo-operacional-da-maju"/>
    <w:p>
      <w:pPr>
        <w:pStyle w:val="Ttulo2"/>
      </w:pPr>
      <w:r>
        <w:t xml:space="preserve">6. Modelo Operacional da Maju</w:t>
      </w:r>
    </w:p>
    <w:p>
      <w:pPr>
        <w:pStyle w:val="FirstParagraph"/>
      </w:pPr>
      <w:r>
        <w:t xml:space="preserve">A Maju Personalizados</w:t>
      </w:r>
      <w:r>
        <w:t xml:space="preserve"> </w:t>
      </w:r>
      <w:r>
        <w:rPr>
          <w:b/>
          <w:bCs/>
        </w:rPr>
        <w:t xml:space="preserve">não opera bancos de dados próprios</w:t>
      </w:r>
      <w:r>
        <w:t xml:space="preserve"> </w:t>
      </w:r>
      <w:r>
        <w:t xml:space="preserve">(on-premises ou em nuvem). Toda a operação de banco de dados está delegada a fornecedores SaaS contratados: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056"/>
        <w:gridCol w:w="2318"/>
        <w:gridCol w:w="154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Banco / Repositório</w:t>
            </w:r>
          </w:p>
        </w:tc>
        <w:tc>
          <w:tcPr/>
          <w:p>
            <w:pPr>
              <w:pStyle w:val="Compact"/>
            </w:pPr>
            <w:r>
              <w:t xml:space="preserve">Fornecedor</w:t>
            </w:r>
          </w:p>
        </w:tc>
        <w:tc>
          <w:tcPr/>
          <w:p>
            <w:pPr>
              <w:pStyle w:val="Compact"/>
            </w:pPr>
            <w:r>
              <w:t xml:space="preserve">Função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 de dados do Exchange Online (e-mail)</w:t>
            </w:r>
          </w:p>
        </w:tc>
        <w:tc>
          <w:tcPr/>
          <w:p>
            <w:pPr>
              <w:pStyle w:val="Compact"/>
            </w:pPr>
            <w:r>
              <w:t xml:space="preserve">Microsoft Corporation</w:t>
            </w:r>
          </w:p>
        </w:tc>
        <w:tc>
          <w:tcPr/>
          <w:p>
            <w:pPr>
              <w:pStyle w:val="Compact"/>
            </w:pPr>
            <w:r>
              <w:t xml:space="preserve">E-mail corporativo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 de dados do SharePoint Online</w:t>
            </w:r>
          </w:p>
        </w:tc>
        <w:tc>
          <w:tcPr/>
          <w:p>
            <w:pPr>
              <w:pStyle w:val="Compact"/>
            </w:pPr>
            <w:r>
              <w:t xml:space="preserve">Microsoft Corporation</w:t>
            </w:r>
          </w:p>
        </w:tc>
        <w:tc>
          <w:tcPr/>
          <w:p>
            <w:pPr>
              <w:pStyle w:val="Compact"/>
            </w:pPr>
            <w:r>
              <w:t xml:space="preserve">Documentos e colaboração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 de dados do OneDrive for Business</w:t>
            </w:r>
          </w:p>
        </w:tc>
        <w:tc>
          <w:tcPr/>
          <w:p>
            <w:pPr>
              <w:pStyle w:val="Compact"/>
            </w:pPr>
            <w:r>
              <w:t xml:space="preserve">Microsoft Corporation</w:t>
            </w:r>
          </w:p>
        </w:tc>
        <w:tc>
          <w:tcPr/>
          <w:p>
            <w:pPr>
              <w:pStyle w:val="Compact"/>
            </w:pPr>
            <w:r>
              <w:t xml:space="preserve">Arquivos individuais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 de dados do Microsoft Entra ID</w:t>
            </w:r>
          </w:p>
        </w:tc>
        <w:tc>
          <w:tcPr/>
          <w:p>
            <w:pPr>
              <w:pStyle w:val="Compact"/>
            </w:pPr>
            <w:r>
              <w:t xml:space="preserve">Microsoft Corporation</w:t>
            </w:r>
          </w:p>
        </w:tc>
        <w:tc>
          <w:tcPr/>
          <w:p>
            <w:pPr>
              <w:pStyle w:val="Compact"/>
            </w:pPr>
            <w:r>
              <w:t xml:space="preserve">Identidades e autenticação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 de dados do ERP Bling</w:t>
            </w:r>
          </w:p>
        </w:tc>
        <w:tc>
          <w:tcPr/>
          <w:p>
            <w:pPr>
              <w:pStyle w:val="Compact"/>
            </w:pPr>
            <w:r>
              <w:t xml:space="preserve">Bling (LWSA / Grupo Locaweb)</w:t>
            </w:r>
          </w:p>
        </w:tc>
        <w:tc>
          <w:tcPr/>
          <w:p>
            <w:pPr>
              <w:pStyle w:val="Compact"/>
            </w:pPr>
            <w:r>
              <w:t xml:space="preserve">Gestão comercial, fiscal e estoque</w:t>
            </w:r>
          </w:p>
        </w:tc>
      </w:tr>
    </w:tbl>
    <w:bookmarkEnd w:id="39"/>
    <w:bookmarkStart w:id="40" w:name="identificação-dos-bancos-de-dados-em-uso"/>
    <w:p>
      <w:pPr>
        <w:pStyle w:val="Ttulo2"/>
      </w:pPr>
      <w:r>
        <w:t xml:space="preserve">7. Identificação dos Bancos de Dados em Uso</w:t>
      </w:r>
    </w:p>
    <w:p>
      <w:pPr>
        <w:pStyle w:val="FirstParagraph"/>
      </w:pPr>
      <w:r>
        <w:t xml:space="preserve">Todos os bancos listados acima são operados em nuvem por seus respectivos fornecedores, com criptografia em repouso aplicada por padrão pelo fornecedor.</w:t>
      </w:r>
    </w:p>
    <w:bookmarkEnd w:id="40"/>
    <w:bookmarkStart w:id="43" w:name="gestão-de-chaves-por-plataforma-saas"/>
    <w:p>
      <w:pPr>
        <w:pStyle w:val="Ttulo2"/>
      </w:pPr>
      <w:r>
        <w:t xml:space="preserve">8. Gestão de Chaves — Por Plataforma SaaS</w:t>
      </w:r>
    </w:p>
    <w:bookmarkStart w:id="41" w:name="X1cbe4f9299dc98144b33cbd7d691682b56738f4"/>
    <w:p>
      <w:pPr>
        <w:pStyle w:val="Ttulo3"/>
      </w:pPr>
      <w:r>
        <w:t xml:space="preserve">8.1 Microsoft 365 (Exchange, SharePoint, OneDrive, Entra ID)</w:t>
      </w:r>
    </w:p>
    <w:p>
      <w:pPr>
        <w:pStyle w:val="FirstParagraph"/>
      </w:pPr>
      <w:r>
        <w:rPr>
          <w:b/>
          <w:bCs/>
        </w:rPr>
        <w:t xml:space="preserve">Tecnologia:</w:t>
      </w:r>
      <w:r>
        <w:t xml:space="preserve"> </w:t>
      </w:r>
      <w:r>
        <w:t xml:space="preserve">Microsoft Service Encryption + Transparent Data Encryption (TDE) no SQL Azure backend.</w:t>
      </w:r>
    </w:p>
    <w:p>
      <w:pPr>
        <w:pStyle w:val="BodyText"/>
      </w:pPr>
      <w:r>
        <w:rPr>
          <w:b/>
          <w:bCs/>
        </w:rPr>
        <w:t xml:space="preserve">Detalhes técnicos</w:t>
      </w:r>
      <w:r>
        <w:t xml:space="preserve"> </w:t>
      </w:r>
      <w:r>
        <w:t xml:space="preserve">(conforme Microsoft Service Assurance):</w:t>
      </w:r>
    </w:p>
    <w:p>
      <w:pPr>
        <w:pStyle w:val="Compact"/>
        <w:numPr>
          <w:ilvl w:val="0"/>
          <w:numId w:val="1004"/>
        </w:numPr>
      </w:pPr>
      <w:r>
        <w:t xml:space="preserve">Dados de cliente armazenados no SharePoint são encriptados com</w:t>
      </w:r>
      <w:r>
        <w:t xml:space="preserve"> </w:t>
      </w:r>
      <w:r>
        <w:rPr>
          <w:b/>
          <w:bCs/>
        </w:rPr>
        <w:t xml:space="preserve">chaves AES de 256 bits</w:t>
      </w:r>
      <w:r>
        <w:t xml:space="preserve">, validadas por</w:t>
      </w:r>
      <w:r>
        <w:t xml:space="preserve"> </w:t>
      </w:r>
      <w:r>
        <w:rPr>
          <w:b/>
          <w:bCs/>
        </w:rPr>
        <w:t xml:space="preserve">FIPS 140-2 Nível 2</w:t>
      </w:r>
      <w:r>
        <w:t xml:space="preserve">;</w:t>
      </w:r>
    </w:p>
    <w:p>
      <w:pPr>
        <w:pStyle w:val="Compact"/>
        <w:numPr>
          <w:ilvl w:val="0"/>
          <w:numId w:val="1004"/>
        </w:numPr>
      </w:pPr>
      <w:r>
        <w:t xml:space="preserve">Cada ficheiro é dividido em segmentos, e cada segmento é encriptado com sua</w:t>
      </w:r>
      <w:r>
        <w:t xml:space="preserve"> </w:t>
      </w:r>
      <w:r>
        <w:rPr>
          <w:b/>
          <w:bCs/>
        </w:rPr>
        <w:t xml:space="preserve">própria chave exclusiva AES-256</w:t>
      </w:r>
      <w:r>
        <w:t xml:space="preserve">;</w:t>
      </w:r>
    </w:p>
    <w:p>
      <w:pPr>
        <w:pStyle w:val="Compact"/>
        <w:numPr>
          <w:ilvl w:val="0"/>
          <w:numId w:val="1004"/>
        </w:numPr>
      </w:pPr>
      <w:r>
        <w:t xml:space="preserve">A encriptação dos blobs no Azure Storage utiliza</w:t>
      </w:r>
      <w:r>
        <w:t xml:space="preserve"> </w:t>
      </w:r>
      <w:r>
        <w:rPr>
          <w:b/>
          <w:bCs/>
        </w:rPr>
        <w:t xml:space="preserve">Encriptação de Dados Transparente (TDE)</w:t>
      </w:r>
      <w:r>
        <w:t xml:space="preserve"> </w:t>
      </w:r>
      <w:r>
        <w:t xml:space="preserve">na</w:t>
      </w:r>
      <w:r>
        <w:t xml:space="preserve"> </w:t>
      </w:r>
      <w:r>
        <w:rPr>
          <w:b/>
          <w:bCs/>
        </w:rPr>
        <w:t xml:space="preserve">Base de Dados SQL do Azure</w:t>
      </w:r>
      <w:r>
        <w:t xml:space="preserve">;</w:t>
      </w:r>
    </w:p>
    <w:p>
      <w:pPr>
        <w:pStyle w:val="Compact"/>
        <w:numPr>
          <w:ilvl w:val="0"/>
          <w:numId w:val="1004"/>
        </w:numPr>
      </w:pPr>
      <w:r>
        <w:t xml:space="preserve">As chaves de cliente, quando aplicável, são armazenadas no</w:t>
      </w:r>
      <w:r>
        <w:t xml:space="preserve"> </w:t>
      </w:r>
      <w:r>
        <w:rPr>
          <w:b/>
          <w:bCs/>
        </w:rPr>
        <w:t xml:space="preserve">Azure Key Vault</w:t>
      </w:r>
      <w:r>
        <w:t xml:space="preserve">;</w:t>
      </w:r>
    </w:p>
    <w:p>
      <w:pPr>
        <w:pStyle w:val="Compact"/>
        <w:numPr>
          <w:ilvl w:val="0"/>
          <w:numId w:val="1004"/>
        </w:numPr>
      </w:pPr>
      <w:r>
        <w:t xml:space="preserve">Hierarquia de chaves: chave de inquilino → chave de site → chave de ficheiro.</w:t>
      </w:r>
    </w:p>
    <w:p>
      <w:pPr>
        <w:pStyle w:val="FirstParagraph"/>
      </w:pPr>
      <w:r>
        <w:rPr>
          <w:b/>
          <w:bCs/>
        </w:rPr>
        <w:t xml:space="preserve">Quem gerencia:</w:t>
      </w:r>
      <w:r>
        <w:t xml:space="preserve"> </w:t>
      </w:r>
      <w:r>
        <w:t xml:space="preserve">Microsoft, conforme suas certificações ISO 27001, ISO 27017, ISO 27018, SOC 1/2/3 e FedRAMP.</w:t>
      </w:r>
    </w:p>
    <w:bookmarkEnd w:id="41"/>
    <w:bookmarkStart w:id="42" w:name="erp-bling-lwsa-grupo-locaweb"/>
    <w:p>
      <w:pPr>
        <w:pStyle w:val="Ttulo3"/>
      </w:pPr>
      <w:r>
        <w:t xml:space="preserve">8.2 ERP Bling (LWSA / Grupo Locaweb)</w:t>
      </w:r>
    </w:p>
    <w:p>
      <w:pPr>
        <w:pStyle w:val="FirstParagraph"/>
      </w:pPr>
      <w:r>
        <w:rPr>
          <w:b/>
          <w:bCs/>
        </w:rPr>
        <w:t xml:space="preserve">Tecnologia:</w:t>
      </w:r>
      <w:r>
        <w:t xml:space="preserve"> </w:t>
      </w:r>
      <w:r>
        <w:t xml:space="preserve">Criptografia de dados conforme política do fornecedor (LWSA).</w:t>
      </w:r>
    </w:p>
    <w:p>
      <w:pPr>
        <w:pStyle w:val="BodyText"/>
      </w:pPr>
      <w:r>
        <w:rPr>
          <w:b/>
          <w:bCs/>
        </w:rPr>
        <w:t xml:space="preserve">Detalhes:</w:t>
      </w:r>
    </w:p>
    <w:p>
      <w:pPr>
        <w:pStyle w:val="Compact"/>
        <w:numPr>
          <w:ilvl w:val="0"/>
          <w:numId w:val="1005"/>
        </w:numPr>
      </w:pPr>
      <w:r>
        <w:t xml:space="preserve">A LWSA declara, em sua Política de Segurança (https://lwsa.tech/politicas, Seção 10), aplicação de</w:t>
      </w:r>
      <w:r>
        <w:t xml:space="preserve"> </w:t>
      </w:r>
      <w:r>
        <w:rPr>
          <w:b/>
          <w:bCs/>
        </w:rPr>
        <w:t xml:space="preserve">firewalls e criptografia de dados, controles de acesso físico a data centers, e controles de autorização de acesso à informação</w:t>
      </w:r>
      <w:r>
        <w:t xml:space="preserve">;</w:t>
      </w:r>
    </w:p>
    <w:p>
      <w:pPr>
        <w:pStyle w:val="Compact"/>
        <w:numPr>
          <w:ilvl w:val="0"/>
          <w:numId w:val="1005"/>
        </w:numPr>
      </w:pPr>
      <w:r>
        <w:t xml:space="preserve">O datacenter Locaweb é certificado</w:t>
      </w:r>
      <w:r>
        <w:t xml:space="preserve"> </w:t>
      </w:r>
      <w:r>
        <w:rPr>
          <w:b/>
          <w:bCs/>
        </w:rPr>
        <w:t xml:space="preserve">ISAE 3402</w:t>
      </w:r>
      <w:r>
        <w:t xml:space="preserve">;</w:t>
      </w:r>
    </w:p>
    <w:p>
      <w:pPr>
        <w:pStyle w:val="Compact"/>
        <w:numPr>
          <w:ilvl w:val="0"/>
          <w:numId w:val="1005"/>
        </w:numPr>
      </w:pPr>
      <w:r>
        <w:t xml:space="preserve">O Bling adere à</w:t>
      </w:r>
      <w:r>
        <w:t xml:space="preserve"> </w:t>
      </w:r>
      <w:r>
        <w:rPr>
          <w:b/>
          <w:bCs/>
        </w:rPr>
        <w:t xml:space="preserve">LGPD</w:t>
      </w:r>
      <w:r>
        <w:t xml:space="preserve">, conforme documentação em sua central de ajuda;</w:t>
      </w:r>
    </w:p>
    <w:p>
      <w:pPr>
        <w:pStyle w:val="Compact"/>
        <w:numPr>
          <w:ilvl w:val="0"/>
          <w:numId w:val="1005"/>
        </w:numPr>
      </w:pPr>
      <w:r>
        <w:t xml:space="preserve">Backup periódico dos dados é mantido pelo fornecedor para fins de disaster recovery (Termos Bling, Cláusula 4.9).</w:t>
      </w:r>
    </w:p>
    <w:p>
      <w:pPr>
        <w:pStyle w:val="FirstParagraph"/>
      </w:pPr>
      <w:r>
        <w:rPr>
          <w:b/>
          <w:bCs/>
        </w:rPr>
        <w:t xml:space="preserve">Quem gerencia:</w:t>
      </w:r>
      <w:r>
        <w:t xml:space="preserve"> </w:t>
      </w:r>
      <w:r>
        <w:t xml:space="preserve">Bling/LWSA, com governança contratual da Maju.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4" w:name="garantia-contratual-e-certificações"/>
    <w:p>
      <w:pPr>
        <w:pStyle w:val="Ttulo2"/>
      </w:pPr>
      <w:r>
        <w:t xml:space="preserve">9. Garantia Contratual e Certificações</w:t>
      </w:r>
    </w:p>
    <w:p>
      <w:pPr>
        <w:pStyle w:val="FirstParagraph"/>
      </w:pPr>
      <w:r>
        <w:t xml:space="preserve">A Maju Personalizados adota o modelo de</w:t>
      </w:r>
      <w:r>
        <w:t xml:space="preserve"> </w:t>
      </w:r>
      <w:r>
        <w:rPr>
          <w:b/>
          <w:bCs/>
        </w:rPr>
        <w:t xml:space="preserve">garantia por certificação</w:t>
      </w:r>
      <w:r>
        <w:t xml:space="preserve">, conforme ISO/IEC 27001:2022 — A.5.21: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4242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Fornecedor</w:t>
            </w:r>
          </w:p>
        </w:tc>
        <w:tc>
          <w:tcPr/>
          <w:p>
            <w:pPr>
              <w:pStyle w:val="Compact"/>
            </w:pPr>
            <w:r>
              <w:t xml:space="preserve">Certificações reconhecidas</w:t>
            </w:r>
          </w:p>
        </w:tc>
        <w:tc>
          <w:tcPr/>
          <w:p>
            <w:pPr>
              <w:pStyle w:val="Compact"/>
            </w:pPr>
            <w:r>
              <w:t xml:space="preserve">Onde validar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</w:t>
            </w:r>
          </w:p>
        </w:tc>
        <w:tc>
          <w:tcPr/>
          <w:p>
            <w:pPr>
              <w:pStyle w:val="Compact"/>
            </w:pPr>
            <w:r>
              <w:t xml:space="preserve">ISO 27001, ISO 27017, ISO 27018, SOC 1/2/3, FedRAMP</w:t>
            </w:r>
          </w:p>
        </w:tc>
        <w:tc>
          <w:tcPr/>
          <w:p>
            <w:pPr>
              <w:pStyle w:val="Compact"/>
            </w:pPr>
            <w:r>
              <w:t xml:space="preserve">https://www.microsoft.com/trust-center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LWSA (Bling)</w:t>
            </w:r>
          </w:p>
        </w:tc>
        <w:tc>
          <w:tcPr/>
          <w:p>
            <w:pPr>
              <w:pStyle w:val="Compact"/>
            </w:pPr>
            <w:r>
              <w:t xml:space="preserve">ISAE 3402 (datacenter Locaweb), LGPD</w:t>
            </w:r>
          </w:p>
        </w:tc>
        <w:tc>
          <w:tcPr/>
          <w:p>
            <w:pPr>
              <w:pStyle w:val="Compact"/>
            </w:pPr>
            <w:r>
              <w:t xml:space="preserve">https://lwsa.tech/politicas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 Trust Services (CA do Bling)</w:t>
            </w:r>
          </w:p>
        </w:tc>
        <w:tc>
          <w:tcPr/>
          <w:p>
            <w:pPr>
              <w:pStyle w:val="Compact"/>
            </w:pPr>
            <w:r>
              <w:t xml:space="preserve">WebTrust, ISO 27001</w:t>
            </w:r>
          </w:p>
        </w:tc>
        <w:tc>
          <w:tcPr/>
          <w:p>
            <w:pPr>
              <w:pStyle w:val="Compact"/>
            </w:pPr>
            <w:r>
              <w:t xml:space="preserve">https://pki.goog</w:t>
            </w:r>
          </w:p>
        </w:tc>
      </w:tr>
    </w:tbl>
    <w:p>
      <w:pPr>
        <w:pStyle w:val="BodyText"/>
      </w:pPr>
      <w:r>
        <w:t xml:space="preserve">A TI Maju</w:t>
      </w:r>
      <w:r>
        <w:t xml:space="preserve"> </w:t>
      </w:r>
      <w:r>
        <w:rPr>
          <w:b/>
          <w:bCs/>
        </w:rPr>
        <w:t xml:space="preserve">valida anualmente</w:t>
      </w:r>
      <w:r>
        <w:t xml:space="preserve"> </w:t>
      </w:r>
      <w:r>
        <w:t xml:space="preserve">que as certificações dos fornecedores permanecem ativas.</w:t>
      </w:r>
    </w:p>
    <w:p>
      <w:r>
        <w:pict>
          <v:rect style="width:0;height:1.5pt" o:hralign="center" o:hrstd="t" o:hr="t"/>
        </w:pict>
      </w:r>
    </w:p>
    <w:bookmarkEnd w:id="44"/>
    <w:bookmarkStart w:id="45" w:name="plano-de-evolução"/>
    <w:p>
      <w:pPr>
        <w:pStyle w:val="Ttulo2"/>
      </w:pPr>
      <w:r>
        <w:t xml:space="preserve">10. Plano de Evolução</w:t>
      </w:r>
    </w:p>
    <w:p>
      <w:pPr>
        <w:pStyle w:val="FirstParagraph"/>
      </w:pPr>
      <w:r>
        <w:t xml:space="preserve">A implementação de</w:t>
      </w:r>
      <w:r>
        <w:t xml:space="preserve"> </w:t>
      </w:r>
      <w:r>
        <w:rPr>
          <w:b/>
          <w:bCs/>
        </w:rPr>
        <w:t xml:space="preserve">gestão de chaves próprias</w:t>
      </w:r>
      <w:r>
        <w:t xml:space="preserve"> </w:t>
      </w:r>
      <w:r>
        <w:t xml:space="preserve">será avaliada conforme expansão da infraestrutura da Maju: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3394"/>
        <w:gridCol w:w="226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Fase</w:t>
            </w:r>
          </w:p>
        </w:tc>
        <w:tc>
          <w:tcPr/>
          <w:p>
            <w:pPr>
              <w:pStyle w:val="Compact"/>
            </w:pPr>
            <w:r>
              <w:t xml:space="preserve">Gatilho</w:t>
            </w:r>
          </w:p>
        </w:tc>
        <w:tc>
          <w:tcPr/>
          <w:p>
            <w:pPr>
              <w:pStyle w:val="Compact"/>
            </w:pPr>
            <w:r>
              <w:t xml:space="preserve">Ação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Atual</w:t>
            </w:r>
          </w:p>
        </w:tc>
        <w:tc>
          <w:tcPr/>
          <w:p>
            <w:pPr>
              <w:pStyle w:val="Compact"/>
            </w:pPr>
            <w:r>
              <w:t xml:space="preserve">Modelo SaaS-first sem banco próprio</w:t>
            </w:r>
          </w:p>
        </w:tc>
        <w:tc>
          <w:tcPr/>
          <w:p>
            <w:pPr>
              <w:pStyle w:val="Compact"/>
            </w:pPr>
            <w:r>
              <w:t xml:space="preserve">Manter delegação contratual com auditoria anual de fornecedores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Fase 1</w:t>
            </w:r>
          </w:p>
        </w:tc>
        <w:tc>
          <w:tcPr/>
          <w:p>
            <w:pPr>
              <w:pStyle w:val="Compact"/>
            </w:pPr>
            <w:r>
              <w:t xml:space="preserve">Se a Maju operar banco de dados próprio (SQL Server / Azure SQL)</w:t>
            </w:r>
          </w:p>
        </w:tc>
        <w:tc>
          <w:tcPr/>
          <w:p>
            <w:pPr>
              <w:pStyle w:val="Compact"/>
            </w:pPr>
            <w:r>
              <w:t xml:space="preserve">Provisionar Azure Key Vault, habilitar TDE com</w:t>
            </w:r>
            <w:r>
              <w:t xml:space="preserve"> </w:t>
            </w:r>
            <w:r>
              <w:rPr>
                <w:b/>
                <w:bCs/>
              </w:rPr>
              <w:t xml:space="preserve">Customer Managed Key (CMK)</w:t>
            </w:r>
            <w:r>
              <w:t xml:space="preserve">, configurar rotação automática 90d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Fase 2</w:t>
            </w:r>
          </w:p>
        </w:tc>
        <w:tc>
          <w:tcPr/>
          <w:p>
            <w:pPr>
              <w:pStyle w:val="Compact"/>
            </w:pPr>
            <w:r>
              <w:t xml:space="preserve">Expansão para infraestrutura on-premises ou IaaS própria</w:t>
            </w:r>
          </w:p>
        </w:tc>
        <w:tc>
          <w:tcPr/>
          <w:p>
            <w:pPr>
              <w:pStyle w:val="Compact"/>
            </w:pPr>
            <w:r>
              <w:t xml:space="preserve">Avaliar uso de HSM físico ou Azure Dedicated HSM</w:t>
            </w:r>
          </w:p>
        </w:tc>
      </w:tr>
    </w:tbl>
    <w:p>
      <w:pPr>
        <w:pStyle w:val="BodyText"/>
      </w:pPr>
      <w:r>
        <w:t xml:space="preserve">Este plano é revisado</w:t>
      </w:r>
      <w:r>
        <w:t xml:space="preserve"> </w:t>
      </w:r>
      <w:r>
        <w:rPr>
          <w:b/>
          <w:bCs/>
        </w:rPr>
        <w:t xml:space="preserve">anualmente</w:t>
      </w:r>
      <w:r>
        <w:t xml:space="preserve"> </w:t>
      </w:r>
      <w:r>
        <w:t xml:space="preserve">ou em mudança significativa de arquitetura.</w:t>
      </w:r>
    </w:p>
    <w:p>
      <w:r>
        <w:pict>
          <v:rect style="width:0;height:1.5pt" o:hralign="center" o:hrstd="t" o:hr="t"/>
        </w:pict>
      </w:r>
    </w:p>
    <w:bookmarkEnd w:id="45"/>
    <w:bookmarkStart w:id="46" w:name="papéis-e-responsabilidades"/>
    <w:p>
      <w:pPr>
        <w:pStyle w:val="Ttulo2"/>
      </w:pPr>
      <w:r>
        <w:t xml:space="preserve">11. Papéis e Responsabilidades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17"/>
        <w:gridCol w:w="570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Papel</w:t>
            </w:r>
          </w:p>
        </w:tc>
        <w:tc>
          <w:tcPr/>
          <w:p>
            <w:pPr>
              <w:pStyle w:val="Compact"/>
            </w:pPr>
            <w:r>
              <w:t xml:space="preserve">Responsabilidade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Tecnologia da Informação (TI)</w:t>
            </w:r>
          </w:p>
        </w:tc>
        <w:tc>
          <w:tcPr/>
          <w:p>
            <w:pPr>
              <w:pStyle w:val="Compact"/>
            </w:pPr>
            <w:r>
              <w:t xml:space="preserve">Manter o inventário dos bancos em uso, validar anualmente as certificações dos fornecedores, manter prints atualizados das declarações técnicas dos fornecedores.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Segurança da Informação</w:t>
            </w:r>
          </w:p>
        </w:tc>
        <w:tc>
          <w:tcPr/>
          <w:p>
            <w:pPr>
              <w:pStyle w:val="Compact"/>
            </w:pPr>
            <w:r>
              <w:t xml:space="preserve">Manter esta política, aprovar exceções, responder a incidentes envolvendo bancos de dados.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Diretoria</w:t>
            </w:r>
          </w:p>
        </w:tc>
        <w:tc>
          <w:tcPr/>
          <w:p>
            <w:pPr>
              <w:pStyle w:val="Compact"/>
            </w:pPr>
            <w:r>
              <w:t xml:space="preserve">Aprovar esta política e suas revisões; avaliar contratos com fornecedores.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Colaboradores</w:t>
            </w:r>
          </w:p>
        </w:tc>
        <w:tc>
          <w:tcPr/>
          <w:p>
            <w:pPr>
              <w:pStyle w:val="Compact"/>
            </w:pPr>
            <w:r>
              <w:t xml:space="preserve">Tratar dados corporativos apenas nos sistemas autorizados; não exportar dados para sistemas não controlados.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6"/>
    <w:bookmarkStart w:id="47" w:name="revisão-periódica"/>
    <w:p>
      <w:pPr>
        <w:pStyle w:val="Ttulo2"/>
      </w:pPr>
      <w:r>
        <w:t xml:space="preserve">12. Revisão Periódica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20"/>
        <w:gridCol w:w="2420"/>
        <w:gridCol w:w="3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Atividade</w:t>
            </w:r>
          </w:p>
        </w:tc>
        <w:tc>
          <w:tcPr/>
          <w:p>
            <w:pPr>
              <w:pStyle w:val="Compact"/>
            </w:pPr>
            <w:r>
              <w:t xml:space="preserve">Frequência</w:t>
            </w:r>
          </w:p>
        </w:tc>
        <w:tc>
          <w:tcPr/>
          <w:p>
            <w:pPr>
              <w:pStyle w:val="Compact"/>
            </w:pPr>
            <w:r>
              <w:t xml:space="preserve">Responsável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Validação das certificações dos fornecedores (Microsoft Trust Center, LWSA)</w:t>
            </w:r>
          </w:p>
        </w:tc>
        <w:tc>
          <w:tcPr/>
          <w:p>
            <w:pPr>
              <w:pStyle w:val="Compact"/>
            </w:pPr>
            <w:r>
              <w:t xml:space="preserve">Anual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Revisão deste documento</w:t>
            </w:r>
          </w:p>
        </w:tc>
        <w:tc>
          <w:tcPr/>
          <w:p>
            <w:pPr>
              <w:pStyle w:val="Compact"/>
            </w:pPr>
            <w:r>
              <w:t xml:space="preserve">Anual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Captura de prints atualizados das páginas dos fornecedores</w:t>
            </w:r>
          </w:p>
        </w:tc>
        <w:tc>
          <w:tcPr/>
          <w:p>
            <w:pPr>
              <w:pStyle w:val="Compact"/>
            </w:pPr>
            <w:r>
              <w:t xml:space="preserve">Anual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Inventário dos bancos em uso</w:t>
            </w:r>
          </w:p>
        </w:tc>
        <w:tc>
          <w:tcPr/>
          <w:p>
            <w:pPr>
              <w:pStyle w:val="Compact"/>
            </w:pPr>
            <w:r>
              <w:t xml:space="preserve">Semestral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7"/>
    <w:bookmarkStart w:id="48" w:name="desvio-e-exceção"/>
    <w:p>
      <w:pPr>
        <w:pStyle w:val="Ttulo2"/>
      </w:pPr>
      <w:r>
        <w:t xml:space="preserve">13. Desvio e Exceção</w:t>
      </w:r>
    </w:p>
    <w:p>
      <w:pPr>
        <w:pStyle w:val="FirstParagraph"/>
      </w:pPr>
      <w:r>
        <w:t xml:space="preserve">Toda exceção a esta política deve ser:</w:t>
      </w:r>
    </w:p>
    <w:p>
      <w:pPr>
        <w:pStyle w:val="Compact"/>
        <w:numPr>
          <w:ilvl w:val="0"/>
          <w:numId w:val="1006"/>
        </w:numPr>
      </w:pPr>
      <w:r>
        <w:t xml:space="preserve">Comunicada formalmente à área de Segurança da Informação;</w:t>
      </w:r>
    </w:p>
    <w:p>
      <w:pPr>
        <w:pStyle w:val="Compact"/>
        <w:numPr>
          <w:ilvl w:val="0"/>
          <w:numId w:val="1006"/>
        </w:numPr>
      </w:pPr>
      <w:r>
        <w:t xml:space="preserve">Avaliada quanto a risco residual;</w:t>
      </w:r>
    </w:p>
    <w:p>
      <w:pPr>
        <w:pStyle w:val="Compact"/>
        <w:numPr>
          <w:ilvl w:val="0"/>
          <w:numId w:val="1006"/>
        </w:numPr>
      </w:pPr>
      <w:r>
        <w:t xml:space="preserve">Aprovada pela Diretoria com prazo de validade definido (máximo 90 dias, renovável);</w:t>
      </w:r>
    </w:p>
    <w:p>
      <w:pPr>
        <w:pStyle w:val="Compact"/>
        <w:numPr>
          <w:ilvl w:val="0"/>
          <w:numId w:val="1006"/>
        </w:numPr>
      </w:pPr>
      <w:r>
        <w:t xml:space="preserve">Registrada em ata e mantida em arquivo para auditoria.</w:t>
      </w:r>
    </w:p>
    <w:p>
      <w:r>
        <w:pict>
          <v:rect style="width:0;height:1.5pt" o:hralign="center" o:hrstd="t" o:hr="t"/>
        </w:pict>
      </w:r>
    </w:p>
    <w:bookmarkEnd w:id="48"/>
    <w:bookmarkStart w:id="49" w:name="documentos-relacionados"/>
    <w:p>
      <w:pPr>
        <w:pStyle w:val="Ttulo2"/>
      </w:pPr>
      <w:r>
        <w:t xml:space="preserve">14. Documentos Relacionados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840"/>
        <w:gridCol w:w="3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Documento</w:t>
            </w:r>
          </w:p>
        </w:tc>
        <w:tc>
          <w:tcPr/>
          <w:p>
            <w:pPr>
              <w:pStyle w:val="Compact"/>
            </w:pPr>
            <w:r>
              <w:t xml:space="preserve">Setor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MJ.GER_PL_115 — Política de Gestão de Chaves Criptográficas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MJDOCTI115 — Política para Uso de Criptografia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MJ.GER_PL_103 — Política de Senhas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 Service Assurance (link público)</w:t>
            </w:r>
          </w:p>
        </w:tc>
        <w:tc>
          <w:tcPr/>
          <w:p>
            <w:pPr>
              <w:pStyle w:val="Compact"/>
            </w:pPr>
            <w:r>
              <w:t xml:space="preserve">Referência externa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Política LWSA — Seção 10 (link público)</w:t>
            </w:r>
          </w:p>
        </w:tc>
        <w:tc>
          <w:tcPr/>
          <w:p>
            <w:pPr>
              <w:pStyle w:val="Compact"/>
            </w:pPr>
            <w:r>
              <w:t xml:space="preserve">Referência externa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Aprovação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Função</w:t>
            </w:r>
          </w:p>
        </w:tc>
        <w:tc>
          <w:tcPr/>
          <w:p>
            <w:pPr>
              <w:pStyle w:val="Compact"/>
            </w:pPr>
            <w:r>
              <w:t xml:space="preserve">Nome</w:t>
            </w:r>
          </w:p>
        </w:tc>
        <w:tc>
          <w:tcPr/>
          <w:p>
            <w:pPr>
              <w:pStyle w:val="Compact"/>
            </w:pPr>
            <w:r>
              <w:t xml:space="preserve">Assinatura</w:t>
            </w:r>
          </w:p>
        </w:tc>
        <w:tc>
          <w:tcPr/>
          <w:p>
            <w:pPr>
              <w:pStyle w:val="Compact"/>
            </w:pPr>
            <w:r>
              <w:t xml:space="preserve">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Responsável Técnico</w:t>
            </w:r>
          </w:p>
        </w:tc>
        <w:tc>
          <w:tcPr/>
          <w:p>
            <w:pPr>
              <w:pStyle w:val="Compact"/>
            </w:pPr>
            <w:r>
              <w:t xml:space="preserve">Diogo Martins da Silva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[DD/MM/AAAA]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Aprovador</w:t>
            </w:r>
          </w:p>
        </w:tc>
        <w:tc>
          <w:tcPr/>
          <w:p>
            <w:pPr>
              <w:pStyle w:val="Compact"/>
            </w:pPr>
            <w:r>
              <w:t xml:space="preserve">Fernando Mancuso Diniz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[DD/MM/AAAA]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Documento modelo elaborado para a Maju Personalizados em resposta à avaliação Netglobe NGCSxAXIA. Os campos entre colchetes […] devem ser preenchidos pela Maju.</w:t>
      </w:r>
    </w:p>
    <w:bookmarkEnd w:id="49"/>
    <w:bookmarkEnd w:id="50"/>
    <w:sectPr w:rsidR="009212B6" w:rsidSect="00541381">
      <w:headerReference r:id="rId19" w:type="default"/>
      <w:footerReference r:id="rId20" w:type="default"/>
      <w:headerReference r:id="rId21" w:type="first"/>
      <w:footerReference r:id="rId22" w:type="first"/>
      <w:pgSz w:h="16834" w:w="11909"/>
      <w:pgMar w:bottom="1440" w:footer="720" w:gutter="0" w:header="720" w:left="1417" w:right="1399" w:top="1440"/>
      <w:pgNumType w:start="0"/>
      <w:cols w:space="720"/>
      <w:titlePg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AB17" w14:textId="77777777" w:rsidR="007B0A19" w:rsidRDefault="00C1479E">
    <w:pPr>
      <w:ind w:left="-283"/>
    </w:pPr>
    <w:r>
      <w:tab/>
    </w:r>
  </w:p>
  <w:tbl>
    <w:tblPr>
      <w:tblStyle w:val="a2"/>
      <w:tblW w:w="9234" w:type="dxa"/>
      <w:tblInd w:w="-41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980"/>
      <w:gridCol w:w="1470"/>
      <w:gridCol w:w="3435"/>
      <w:gridCol w:w="2349"/>
    </w:tblGrid>
    <w:tr w:rsidR="007B0A19" w14:paraId="695C0873" w14:textId="77777777" w:rsidTr="10E1E5DB">
      <w:tc>
        <w:tcPr>
          <w:tcW w:w="198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DBF62A7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Data Aprovação</w:t>
          </w:r>
        </w:p>
      </w:tc>
      <w:tc>
        <w:tcPr>
          <w:tcW w:w="147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2387D95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Revisão N°</w:t>
          </w:r>
        </w:p>
      </w:tc>
      <w:tc>
        <w:tcPr>
          <w:tcW w:w="3435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C367999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Data da Próxima Revisão</w:t>
          </w:r>
        </w:p>
      </w:tc>
      <w:tc>
        <w:tcPr>
          <w:tcW w:w="2349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0E3AC75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Página</w:t>
          </w:r>
        </w:p>
      </w:tc>
    </w:tr>
    <w:tr w:rsidR="007B0A19" w14:paraId="4DA12543" w14:textId="77777777" w:rsidTr="10E1E5DB">
      <w:tc>
        <w:tcPr>
          <w:tcW w:w="198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ABD1F0A" w14:textId="69FB13D7" w:rsidR="007B0A19" w:rsidRDefault="10E1E5DB" w:rsidP="10E1E5DB">
          <w:pPr>
            <w:widowControl w:val="0"/>
            <w:spacing w:line="240" w:lineRule="auto"/>
            <w:jc w:val="center"/>
          </w:pPr>
          <w:r w:rsidRPr="10E1E5DB">
            <w:rPr>
              <w:sz w:val="20"/>
              <w:szCs w:val="20"/>
            </w:rPr>
            <w:t>01/01/202</w:t>
          </w:r>
          <w:r w:rsidR="004E789C">
            <w:rPr>
              <w:sz w:val="20"/>
              <w:szCs w:val="20"/>
            </w:rPr>
            <w:t>6</w:t>
          </w:r>
        </w:p>
      </w:tc>
      <w:tc>
        <w:tcPr>
          <w:tcW w:w="147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45C6E65" w14:textId="77777777" w:rsidR="007B0A19" w:rsidRDefault="00C1479E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  <w:tc>
        <w:tcPr>
          <w:tcW w:w="3435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03CF2A" w14:textId="1F1E51C3" w:rsidR="007B0A19" w:rsidRDefault="003612A1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01/</w:t>
          </w:r>
          <w:r w:rsidR="007A0C31">
            <w:rPr>
              <w:sz w:val="20"/>
              <w:szCs w:val="20"/>
            </w:rPr>
            <w:t>01</w:t>
          </w:r>
          <w:r>
            <w:rPr>
              <w:sz w:val="20"/>
              <w:szCs w:val="20"/>
            </w:rPr>
            <w:t>/202</w:t>
          </w:r>
          <w:r w:rsidR="008C6197">
            <w:rPr>
              <w:sz w:val="20"/>
              <w:szCs w:val="20"/>
            </w:rPr>
            <w:t>7</w:t>
          </w:r>
        </w:p>
      </w:tc>
      <w:tc>
        <w:tcPr>
          <w:tcW w:w="2349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22F5A1E" w14:textId="77777777" w:rsidR="007B0A19" w:rsidRDefault="00C1479E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1F174E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/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1F174E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3A1F588D" w14:textId="77777777" w:rsidR="007B0A19" w:rsidRDefault="007B0A19">
    <w:pPr>
      <w:ind w:left="-141" w:right="139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3030"/>
      <w:gridCol w:w="3030"/>
    </w:tblGrid>
    <w:tr w:rsidR="1F8B474F" w14:paraId="4CA25B25" w14:textId="77777777" w:rsidTr="1F8B474F">
      <w:trPr>
        <w:trHeight w:val="300"/>
      </w:trPr>
      <w:tc>
        <w:tcPr>
          <w:tcW w:w="3030" w:type="dxa"/>
        </w:tcPr>
        <w:p w14:paraId="5F20CE23" w14:textId="507F6588" w:rsidR="1F8B474F" w:rsidRDefault="1F8B474F" w:rsidP="1F8B474F">
          <w:pPr>
            <w:pStyle w:val="Cabealho"/>
            <w:ind w:left="-115"/>
            <w:jc w:val="left"/>
          </w:pPr>
        </w:p>
      </w:tc>
      <w:tc>
        <w:tcPr>
          <w:tcW w:w="3030" w:type="dxa"/>
        </w:tcPr>
        <w:p w14:paraId="11F878CC" w14:textId="04729F64" w:rsidR="1F8B474F" w:rsidRDefault="1F8B474F" w:rsidP="1F8B474F">
          <w:pPr>
            <w:pStyle w:val="Cabealho"/>
            <w:jc w:val="center"/>
          </w:pPr>
        </w:p>
      </w:tc>
      <w:tc>
        <w:tcPr>
          <w:tcW w:w="3030" w:type="dxa"/>
        </w:tcPr>
        <w:p w14:paraId="7433307D" w14:textId="1EFAF848" w:rsidR="1F8B474F" w:rsidRDefault="1F8B474F" w:rsidP="1F8B474F">
          <w:pPr>
            <w:pStyle w:val="Cabealho"/>
            <w:ind w:right="-115"/>
            <w:jc w:val="right"/>
          </w:pPr>
        </w:p>
      </w:tc>
    </w:tr>
  </w:tbl>
  <w:p w14:paraId="727A56C2" w14:textId="2FF0EDA1" w:rsidR="1F8B474F" w:rsidRDefault="1F8B474F" w:rsidP="1F8B474F">
    <w:pPr>
      <w:pStyle w:val="Rodap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36C3" w14:textId="77777777" w:rsidR="007B0A19" w:rsidRDefault="007B0A19">
    <w:pPr>
      <w:ind w:left="-283"/>
    </w:pPr>
  </w:p>
  <w:tbl>
    <w:tblPr>
      <w:tblStyle w:val="a1"/>
      <w:tblW w:w="9210" w:type="dxa"/>
      <w:tblInd w:w="-41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016"/>
      <w:gridCol w:w="5544"/>
      <w:gridCol w:w="1650"/>
    </w:tblGrid>
    <w:tr w:rsidR="007B0A19" w14:paraId="78F38B9B" w14:textId="77777777" w:rsidTr="00437158">
      <w:tc>
        <w:tcPr>
          <w:tcW w:w="2016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58CC12B" w14:textId="77777777" w:rsidR="007B0A19" w:rsidRDefault="00C1479E">
          <w:pPr>
            <w:widowControl w:val="0"/>
            <w:spacing w:line="240" w:lineRule="auto"/>
            <w:jc w:val="left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114300" distB="114300" distL="114300" distR="114300" wp14:anchorId="64A9EE9F" wp14:editId="589448B9">
                <wp:extent cx="1128995" cy="366713"/>
                <wp:effectExtent l="0" t="0" r="0" b="0"/>
                <wp:docPr id="150191339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95" cy="3667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4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3DB386F" w14:textId="66A38816" w:rsidR="007B0A19" w:rsidRDefault="00C04668">
          <w:pPr>
            <w:widowControl w:val="0"/>
            <w:spacing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Política</w:t>
          </w:r>
          <w:r w:rsidR="00C82BD9">
            <w:rPr>
              <w:b/>
              <w:sz w:val="28"/>
              <w:szCs w:val="28"/>
            </w:rPr>
            <w:t xml:space="preserve"> -</w:t>
          </w:r>
          <w:r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alias w:val="Título"/>
              <w:tag w:val=""/>
              <w:id w:val="-1893262956"/>
              <w:placeholder>
                <w:docPart w:val="CB04C83B5F2D48C6A48E6915DA52EE7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82BD9">
                <w:rPr>
                  <w:b/>
                  <w:sz w:val="28"/>
                  <w:szCs w:val="28"/>
                </w:rPr>
                <w:t>Política de Senhas</w:t>
              </w:r>
            </w:sdtContent>
          </w:sdt>
        </w:p>
      </w:tc>
      <w:tc>
        <w:tcPr>
          <w:tcW w:w="165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C10BB71" w14:textId="7533479C" w:rsidR="007B0A19" w:rsidRDefault="00B73410">
          <w:pPr>
            <w:widowControl w:val="0"/>
            <w:spacing w:line="240" w:lineRule="auto"/>
            <w:jc w:val="center"/>
            <w:rPr>
              <w:b/>
            </w:rPr>
          </w:pPr>
          <w:r w:rsidRPr="00B73410">
            <w:rPr>
              <w:b/>
              <w:bCs/>
            </w:rPr>
            <w:t>MJ.GER_PL</w:t>
          </w:r>
          <w:r w:rsidRPr="00B73410">
            <w:rPr>
              <w:b/>
            </w:rPr>
            <w:t> </w:t>
          </w:r>
        </w:p>
      </w:tc>
    </w:tr>
  </w:tbl>
  <w:p w14:paraId="323FA3EF" w14:textId="77777777" w:rsidR="007B0A19" w:rsidRDefault="007B0A19">
    <w:pPr>
      <w:ind w:left="-141" w:right="13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3030"/>
      <w:gridCol w:w="3030"/>
    </w:tblGrid>
    <w:tr w:rsidR="1F8B474F" w14:paraId="3C5939B3" w14:textId="77777777" w:rsidTr="1F8B474F">
      <w:trPr>
        <w:trHeight w:val="300"/>
      </w:trPr>
      <w:tc>
        <w:tcPr>
          <w:tcW w:w="3030" w:type="dxa"/>
        </w:tcPr>
        <w:p w14:paraId="4D14A701" w14:textId="30611982" w:rsidR="1F8B474F" w:rsidRDefault="1F8B474F" w:rsidP="1F8B474F">
          <w:pPr>
            <w:pStyle w:val="Cabealho"/>
            <w:ind w:left="-115"/>
            <w:jc w:val="left"/>
          </w:pPr>
        </w:p>
      </w:tc>
      <w:tc>
        <w:tcPr>
          <w:tcW w:w="3030" w:type="dxa"/>
        </w:tcPr>
        <w:p w14:paraId="77327369" w14:textId="25406043" w:rsidR="1F8B474F" w:rsidRDefault="1F8B474F" w:rsidP="1F8B474F">
          <w:pPr>
            <w:pStyle w:val="Cabealho"/>
            <w:jc w:val="center"/>
          </w:pPr>
        </w:p>
      </w:tc>
      <w:tc>
        <w:tcPr>
          <w:tcW w:w="3030" w:type="dxa"/>
        </w:tcPr>
        <w:p w14:paraId="23685351" w14:textId="3928F268" w:rsidR="1F8B474F" w:rsidRDefault="1F8B474F" w:rsidP="1F8B474F">
          <w:pPr>
            <w:pStyle w:val="Cabealho"/>
            <w:ind w:right="-115"/>
            <w:jc w:val="right"/>
          </w:pPr>
        </w:p>
      </w:tc>
    </w:tr>
  </w:tbl>
  <w:p w14:paraId="4DFBDD0A" w14:textId="5C6DD2C3" w:rsidR="1F8B474F" w:rsidRDefault="1F8B474F" w:rsidP="1F8B474F">
    <w:pPr>
      <w:pStyle w:val="Cabealho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3F73CD4"/>
    <w:multiLevelType w:val="hybridMultilevel"/>
    <w:tmpl w:val="92148B38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9C95B0A"/>
    <w:multiLevelType w:val="hybridMultilevel"/>
    <w:tmpl w:val="9E825C68"/>
    <w:lvl w:ilvl="0" w:tplc="5E8EEFCE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4F668B60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plc="6E449A92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6782444C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8A6A6534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plc="EF0E8ABA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71BA5D44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76A64EE0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plc="440017C8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123C4356"/>
    <w:multiLevelType w:val="hybridMultilevel"/>
    <w:tmpl w:val="F21808D8"/>
    <w:lvl w:ilvl="0" w:tplc="35682202">
      <w:start w:val="1"/>
      <w:numFmt w:val="decimal"/>
      <w:lvlText w:val="%1."/>
      <w:lvlJc w:val="left"/>
      <w:pPr>
        <w:ind w:hanging="360" w:left="927"/>
      </w:pPr>
      <w:rPr>
        <w:rFonts w:hint="default"/>
      </w:rPr>
    </w:lvl>
    <w:lvl w:ilvl="1" w:tentative="1" w:tplc="04160019">
      <w:start w:val="1"/>
      <w:numFmt w:val="lowerLetter"/>
      <w:lvlText w:val="%2."/>
      <w:lvlJc w:val="left"/>
      <w:pPr>
        <w:ind w:hanging="360" w:left="1647"/>
      </w:pPr>
    </w:lvl>
    <w:lvl w:ilvl="2" w:tentative="1" w:tplc="0416001B">
      <w:start w:val="1"/>
      <w:numFmt w:val="lowerRoman"/>
      <w:lvlText w:val="%3."/>
      <w:lvlJc w:val="right"/>
      <w:pPr>
        <w:ind w:hanging="180" w:left="2367"/>
      </w:pPr>
    </w:lvl>
    <w:lvl w:ilvl="3" w:tentative="1" w:tplc="0416000F">
      <w:start w:val="1"/>
      <w:numFmt w:val="decimal"/>
      <w:lvlText w:val="%4."/>
      <w:lvlJc w:val="left"/>
      <w:pPr>
        <w:ind w:hanging="360" w:left="3087"/>
      </w:pPr>
    </w:lvl>
    <w:lvl w:ilvl="4" w:tentative="1" w:tplc="04160019">
      <w:start w:val="1"/>
      <w:numFmt w:val="lowerLetter"/>
      <w:lvlText w:val="%5."/>
      <w:lvlJc w:val="left"/>
      <w:pPr>
        <w:ind w:hanging="360" w:left="3807"/>
      </w:pPr>
    </w:lvl>
    <w:lvl w:ilvl="5" w:tentative="1" w:tplc="0416001B">
      <w:start w:val="1"/>
      <w:numFmt w:val="lowerRoman"/>
      <w:lvlText w:val="%6."/>
      <w:lvlJc w:val="right"/>
      <w:pPr>
        <w:ind w:hanging="180" w:left="4527"/>
      </w:pPr>
    </w:lvl>
    <w:lvl w:ilvl="6" w:tentative="1" w:tplc="0416000F">
      <w:start w:val="1"/>
      <w:numFmt w:val="decimal"/>
      <w:lvlText w:val="%7."/>
      <w:lvlJc w:val="left"/>
      <w:pPr>
        <w:ind w:hanging="360" w:left="5247"/>
      </w:pPr>
    </w:lvl>
    <w:lvl w:ilvl="7" w:tentative="1" w:tplc="04160019">
      <w:start w:val="1"/>
      <w:numFmt w:val="lowerLetter"/>
      <w:lvlText w:val="%8."/>
      <w:lvlJc w:val="left"/>
      <w:pPr>
        <w:ind w:hanging="360" w:left="5967"/>
      </w:pPr>
    </w:lvl>
    <w:lvl w:ilvl="8" w:tentative="1" w:tplc="0416001B">
      <w:start w:val="1"/>
      <w:numFmt w:val="lowerRoman"/>
      <w:lvlText w:val="%9."/>
      <w:lvlJc w:val="right"/>
      <w:pPr>
        <w:ind w:hanging="180" w:left="6687"/>
      </w:pPr>
    </w:lvl>
  </w:abstractNum>
  <w:abstractNum w15:restartNumberingAfterBreak="0" w:abstractNumId="3">
    <w:nsid w:val="193656B4"/>
    <w:multiLevelType w:val="hybridMultilevel"/>
    <w:tmpl w:val="0C6E1218"/>
    <w:lvl w:ilvl="0" w:tplc="79D2FA38">
      <w:start w:val="1"/>
      <w:numFmt w:val="lowerLetter"/>
      <w:lvlText w:val="%1)"/>
      <w:lvlJc w:val="left"/>
      <w:pPr>
        <w:ind w:left="923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BD66AAEE">
      <w:start w:val="1"/>
      <w:numFmt w:val="bullet"/>
      <w:lvlText w:val="•"/>
      <w:lvlJc w:val="left"/>
      <w:pPr>
        <w:ind w:left="1278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21BED790">
      <w:start w:val="2"/>
      <w:numFmt w:val="upperRoman"/>
      <w:lvlText w:val="%3."/>
      <w:lvlJc w:val="left"/>
      <w:pPr>
        <w:ind w:left="202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34A85DDC">
      <w:start w:val="1"/>
      <w:numFmt w:val="decimal"/>
      <w:lvlText w:val="%4"/>
      <w:lvlJc w:val="left"/>
      <w:pPr>
        <w:ind w:left="246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406A8226">
      <w:start w:val="1"/>
      <w:numFmt w:val="lowerLetter"/>
      <w:lvlText w:val="%5"/>
      <w:lvlJc w:val="left"/>
      <w:pPr>
        <w:ind w:left="318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5F8882CA">
      <w:start w:val="1"/>
      <w:numFmt w:val="lowerRoman"/>
      <w:lvlText w:val="%6"/>
      <w:lvlJc w:val="left"/>
      <w:pPr>
        <w:ind w:left="390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27DC7BE2">
      <w:start w:val="1"/>
      <w:numFmt w:val="decimal"/>
      <w:lvlText w:val="%7"/>
      <w:lvlJc w:val="left"/>
      <w:pPr>
        <w:ind w:left="462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06E264AA">
      <w:start w:val="1"/>
      <w:numFmt w:val="lowerLetter"/>
      <w:lvlText w:val="%8"/>
      <w:lvlJc w:val="left"/>
      <w:pPr>
        <w:ind w:left="534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4A10D788">
      <w:start w:val="1"/>
      <w:numFmt w:val="lowerRoman"/>
      <w:lvlText w:val="%9"/>
      <w:lvlJc w:val="left"/>
      <w:pPr>
        <w:ind w:left="606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15:restartNumberingAfterBreak="0" w:abstractNumId="4">
    <w:nsid w:val="2FCD1B34"/>
    <w:multiLevelType w:val="multilevel"/>
    <w:tmpl w:val="0416001F"/>
    <w:styleLink w:val="Listaatual2"/>
    <w:lvl w:ilvl="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5">
    <w:nsid w:val="33ED4BFA"/>
    <w:multiLevelType w:val="hybridMultilevel"/>
    <w:tmpl w:val="E2E05CE8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3B3A396F"/>
    <w:multiLevelType w:val="hybridMultilevel"/>
    <w:tmpl w:val="490A8746"/>
    <w:lvl w:ilvl="0" w:tplc="11E4A3E8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7DFA3F58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plc="978A1EC8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2D0A368A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C17084E0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plc="1748AC8A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DC007E08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81A07434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plc="90128430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F0320EF"/>
    <w:multiLevelType w:val="hybridMultilevel"/>
    <w:tmpl w:val="7338AE58"/>
    <w:lvl w:ilvl="0" w:tplc="1358835E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hAnsi="Arial" w:hint="default"/>
      </w:rPr>
    </w:lvl>
    <w:lvl w:ilvl="1" w:tentative="1" w:tplc="2FA66128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hAnsi="Arial" w:hint="default"/>
      </w:rPr>
    </w:lvl>
    <w:lvl w:ilvl="2" w:tentative="1" w:tplc="BC76A244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hAnsi="Arial" w:hint="default"/>
      </w:rPr>
    </w:lvl>
    <w:lvl w:ilvl="3" w:tentative="1" w:tplc="A8D4474A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hAnsi="Arial" w:hint="default"/>
      </w:rPr>
    </w:lvl>
    <w:lvl w:ilvl="4" w:tentative="1" w:tplc="6A9409E6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hAnsi="Arial" w:hint="default"/>
      </w:rPr>
    </w:lvl>
    <w:lvl w:ilvl="5" w:tentative="1" w:tplc="3BE676C8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hAnsi="Arial" w:hint="default"/>
      </w:rPr>
    </w:lvl>
    <w:lvl w:ilvl="6" w:tentative="1" w:tplc="3372185E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hAnsi="Arial" w:hint="default"/>
      </w:rPr>
    </w:lvl>
    <w:lvl w:ilvl="7" w:tentative="1" w:tplc="40AC933A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hAnsi="Arial" w:hint="default"/>
      </w:rPr>
    </w:lvl>
    <w:lvl w:ilvl="8" w:tentative="1" w:tplc="BCB6420C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hAnsi="Arial" w:hint="default"/>
      </w:rPr>
    </w:lvl>
  </w:abstractNum>
  <w:abstractNum w15:restartNumberingAfterBreak="0" w:abstractNumId="8">
    <w:nsid w:val="419E1503"/>
    <w:multiLevelType w:val="multilevel"/>
    <w:tmpl w:val="7BE45AF0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15:restartNumberingAfterBreak="0" w:abstractNumId="9">
    <w:nsid w:val="467F2CAB"/>
    <w:multiLevelType w:val="hybridMultilevel"/>
    <w:tmpl w:val="8A1E3F68"/>
    <w:lvl w:ilvl="0" w:tplc="E68E8AF4">
      <w:start w:val="1"/>
      <w:numFmt w:val="lowerLetter"/>
      <w:lvlText w:val="%1)"/>
      <w:lvlJc w:val="left"/>
      <w:pPr>
        <w:ind w:left="643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569E68AA">
      <w:start w:val="1"/>
      <w:numFmt w:val="bullet"/>
      <w:lvlText w:val="•"/>
      <w:lvlJc w:val="left"/>
      <w:pPr>
        <w:ind w:left="10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E07A54CC">
      <w:start w:val="1"/>
      <w:numFmt w:val="bullet"/>
      <w:lvlText w:val="▪"/>
      <w:lvlJc w:val="left"/>
      <w:pPr>
        <w:ind w:left="178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7DD03194">
      <w:start w:val="1"/>
      <w:numFmt w:val="bullet"/>
      <w:lvlText w:val="•"/>
      <w:lvlJc w:val="left"/>
      <w:pPr>
        <w:ind w:left="25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7A0225DA">
      <w:start w:val="1"/>
      <w:numFmt w:val="bullet"/>
      <w:lvlText w:val="o"/>
      <w:lvlJc w:val="left"/>
      <w:pPr>
        <w:ind w:left="322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8D849F40">
      <w:start w:val="1"/>
      <w:numFmt w:val="bullet"/>
      <w:lvlText w:val="▪"/>
      <w:lvlJc w:val="left"/>
      <w:pPr>
        <w:ind w:left="394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C7EC22FA">
      <w:start w:val="1"/>
      <w:numFmt w:val="bullet"/>
      <w:lvlText w:val="•"/>
      <w:lvlJc w:val="left"/>
      <w:pPr>
        <w:ind w:left="46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1FE0477E">
      <w:start w:val="1"/>
      <w:numFmt w:val="bullet"/>
      <w:lvlText w:val="o"/>
      <w:lvlJc w:val="left"/>
      <w:pPr>
        <w:ind w:left="538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026C460E">
      <w:start w:val="1"/>
      <w:numFmt w:val="bullet"/>
      <w:lvlText w:val="▪"/>
      <w:lvlJc w:val="left"/>
      <w:pPr>
        <w:ind w:left="610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15:restartNumberingAfterBreak="0" w:abstractNumId="10">
    <w:nsid w:val="4D754A6F"/>
    <w:multiLevelType w:val="hybridMultilevel"/>
    <w:tmpl w:val="6F4E9F82"/>
    <w:lvl w:ilvl="0" w:tplc="0416000F">
      <w:start w:val="1"/>
      <w:numFmt w:val="decimal"/>
      <w:lvlText w:val="%1."/>
      <w:lvlJc w:val="left"/>
      <w:pPr>
        <w:ind w:hanging="360" w:left="720"/>
      </w:pPr>
    </w:lvl>
    <w:lvl w:ilvl="1" w:tentative="1" w:tplc="04160019">
      <w:start w:val="1"/>
      <w:numFmt w:val="lowerLetter"/>
      <w:lvlText w:val="%2."/>
      <w:lvlJc w:val="left"/>
      <w:pPr>
        <w:ind w:hanging="360" w:left="1440"/>
      </w:pPr>
    </w:lvl>
    <w:lvl w:ilvl="2" w:tentative="1" w:tplc="0416001B">
      <w:start w:val="1"/>
      <w:numFmt w:val="lowerRoman"/>
      <w:lvlText w:val="%3."/>
      <w:lvlJc w:val="right"/>
      <w:pPr>
        <w:ind w:hanging="180" w:left="2160"/>
      </w:pPr>
    </w:lvl>
    <w:lvl w:ilvl="3" w:tentative="1" w:tplc="0416000F">
      <w:start w:val="1"/>
      <w:numFmt w:val="decimal"/>
      <w:lvlText w:val="%4."/>
      <w:lvlJc w:val="left"/>
      <w:pPr>
        <w:ind w:hanging="360" w:left="2880"/>
      </w:pPr>
    </w:lvl>
    <w:lvl w:ilvl="4" w:tentative="1" w:tplc="04160019">
      <w:start w:val="1"/>
      <w:numFmt w:val="lowerLetter"/>
      <w:lvlText w:val="%5."/>
      <w:lvlJc w:val="left"/>
      <w:pPr>
        <w:ind w:hanging="360" w:left="3600"/>
      </w:pPr>
    </w:lvl>
    <w:lvl w:ilvl="5" w:tentative="1" w:tplc="0416001B">
      <w:start w:val="1"/>
      <w:numFmt w:val="lowerRoman"/>
      <w:lvlText w:val="%6."/>
      <w:lvlJc w:val="right"/>
      <w:pPr>
        <w:ind w:hanging="180" w:left="4320"/>
      </w:pPr>
    </w:lvl>
    <w:lvl w:ilvl="6" w:tentative="1" w:tplc="0416000F">
      <w:start w:val="1"/>
      <w:numFmt w:val="decimal"/>
      <w:lvlText w:val="%7."/>
      <w:lvlJc w:val="left"/>
      <w:pPr>
        <w:ind w:hanging="360" w:left="5040"/>
      </w:pPr>
    </w:lvl>
    <w:lvl w:ilvl="7" w:tentative="1" w:tplc="04160019">
      <w:start w:val="1"/>
      <w:numFmt w:val="lowerLetter"/>
      <w:lvlText w:val="%8."/>
      <w:lvlJc w:val="left"/>
      <w:pPr>
        <w:ind w:hanging="360" w:left="5760"/>
      </w:pPr>
    </w:lvl>
    <w:lvl w:ilvl="8" w:tentative="1" w:tplc="0416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1">
    <w:nsid w:val="50552402"/>
    <w:multiLevelType w:val="hybridMultilevel"/>
    <w:tmpl w:val="49709DB4"/>
    <w:lvl w:ilvl="0" w:tplc="04160001">
      <w:start w:val="1"/>
      <w:numFmt w:val="bullet"/>
      <w:lvlText w:val=""/>
      <w:lvlJc w:val="left"/>
      <w:pPr>
        <w:ind w:hanging="360" w:left="1429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2149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869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3589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4309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5029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749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6469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7189"/>
      </w:pPr>
      <w:rPr>
        <w:rFonts w:ascii="Wingdings" w:hAnsi="Wingdings" w:hint="default"/>
      </w:rPr>
    </w:lvl>
  </w:abstractNum>
  <w:abstractNum w15:restartNumberingAfterBreak="0" w:abstractNumId="12">
    <w:nsid w:val="51671116"/>
    <w:multiLevelType w:val="hybridMultilevel"/>
    <w:tmpl w:val="4CD020E8"/>
    <w:lvl w:ilvl="0" w:tplc="B0B49DC0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hAnsi="Arial" w:hint="default"/>
      </w:rPr>
    </w:lvl>
    <w:lvl w:ilvl="1" w:tentative="1" w:tplc="3CC6EAFA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hAnsi="Arial" w:hint="default"/>
      </w:rPr>
    </w:lvl>
    <w:lvl w:ilvl="2" w:tentative="1" w:tplc="1D92D0CC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hAnsi="Arial" w:hint="default"/>
      </w:rPr>
    </w:lvl>
    <w:lvl w:ilvl="3" w:tentative="1" w:tplc="9B1E5912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hAnsi="Arial" w:hint="default"/>
      </w:rPr>
    </w:lvl>
    <w:lvl w:ilvl="4" w:tentative="1" w:tplc="5C581024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hAnsi="Arial" w:hint="default"/>
      </w:rPr>
    </w:lvl>
    <w:lvl w:ilvl="5" w:tentative="1" w:tplc="B284F2DE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hAnsi="Arial" w:hint="default"/>
      </w:rPr>
    </w:lvl>
    <w:lvl w:ilvl="6" w:tentative="1" w:tplc="D72C6840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hAnsi="Arial" w:hint="default"/>
      </w:rPr>
    </w:lvl>
    <w:lvl w:ilvl="7" w:tentative="1" w:tplc="F1640D70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hAnsi="Arial" w:hint="default"/>
      </w:rPr>
    </w:lvl>
    <w:lvl w:ilvl="8" w:tentative="1" w:tplc="FD60FD76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hAnsi="Arial" w:hint="default"/>
      </w:rPr>
    </w:lvl>
  </w:abstractNum>
  <w:abstractNum w15:restartNumberingAfterBreak="0" w:abstractNumId="13">
    <w:nsid w:val="582B3A82"/>
    <w:multiLevelType w:val="hybridMultilevel"/>
    <w:tmpl w:val="8C643C68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4">
    <w:nsid w:val="669D51BB"/>
    <w:multiLevelType w:val="hybridMultilevel"/>
    <w:tmpl w:val="54362FB0"/>
    <w:lvl w:ilvl="0" w:tplc="FA40F6BE">
      <w:start w:val="1"/>
      <w:numFmt w:val="lowerLetter"/>
      <w:lvlText w:val="%1)"/>
      <w:lvlJc w:val="left"/>
      <w:pPr>
        <w:ind w:left="4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8DAA3E38">
      <w:start w:val="1"/>
      <w:numFmt w:val="lowerLetter"/>
      <w:lvlText w:val="%2"/>
      <w:lvlJc w:val="left"/>
      <w:pPr>
        <w:ind w:left="114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3E84BAA2">
      <w:start w:val="1"/>
      <w:numFmt w:val="lowerRoman"/>
      <w:lvlText w:val="%3"/>
      <w:lvlJc w:val="left"/>
      <w:pPr>
        <w:ind w:left="18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8DD803AA">
      <w:start w:val="1"/>
      <w:numFmt w:val="decimal"/>
      <w:lvlText w:val="%4"/>
      <w:lvlJc w:val="left"/>
      <w:pPr>
        <w:ind w:left="25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D2C096B0">
      <w:start w:val="1"/>
      <w:numFmt w:val="lowerLetter"/>
      <w:lvlText w:val="%5"/>
      <w:lvlJc w:val="left"/>
      <w:pPr>
        <w:ind w:left="33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5D4450F0">
      <w:start w:val="1"/>
      <w:numFmt w:val="lowerRoman"/>
      <w:lvlText w:val="%6"/>
      <w:lvlJc w:val="left"/>
      <w:pPr>
        <w:ind w:left="40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6C58DA50">
      <w:start w:val="1"/>
      <w:numFmt w:val="decimal"/>
      <w:lvlText w:val="%7"/>
      <w:lvlJc w:val="left"/>
      <w:pPr>
        <w:ind w:left="474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AC560450">
      <w:start w:val="1"/>
      <w:numFmt w:val="lowerLetter"/>
      <w:lvlText w:val="%8"/>
      <w:lvlJc w:val="left"/>
      <w:pPr>
        <w:ind w:left="54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BE22CC04">
      <w:start w:val="1"/>
      <w:numFmt w:val="lowerRoman"/>
      <w:lvlText w:val="%9"/>
      <w:lvlJc w:val="left"/>
      <w:pPr>
        <w:ind w:left="61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15:restartNumberingAfterBreak="0" w:abstractNumId="15">
    <w:nsid w:val="6D2F05F7"/>
    <w:multiLevelType w:val="hybridMultilevel"/>
    <w:tmpl w:val="0FA0C82A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6">
    <w:nsid w:val="6F740998"/>
    <w:multiLevelType w:val="hybridMultilevel"/>
    <w:tmpl w:val="902438BA"/>
    <w:lvl w:ilvl="0" w:tplc="C8A04868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hAnsi="Arial" w:hint="default"/>
      </w:rPr>
    </w:lvl>
    <w:lvl w:ilvl="1" w:tentative="1" w:tplc="0B0AD36E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hAnsi="Arial" w:hint="default"/>
      </w:rPr>
    </w:lvl>
    <w:lvl w:ilvl="2" w:tentative="1" w:tplc="AB509B30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hAnsi="Arial" w:hint="default"/>
      </w:rPr>
    </w:lvl>
    <w:lvl w:ilvl="3" w:tentative="1" w:tplc="251E55B8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hAnsi="Arial" w:hint="default"/>
      </w:rPr>
    </w:lvl>
    <w:lvl w:ilvl="4" w:tentative="1" w:tplc="0DCED688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hAnsi="Arial" w:hint="default"/>
      </w:rPr>
    </w:lvl>
    <w:lvl w:ilvl="5" w:tentative="1" w:tplc="A2040374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hAnsi="Arial" w:hint="default"/>
      </w:rPr>
    </w:lvl>
    <w:lvl w:ilvl="6" w:tentative="1" w:tplc="F5B6F03E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hAnsi="Arial" w:hint="default"/>
      </w:rPr>
    </w:lvl>
    <w:lvl w:ilvl="7" w:tentative="1" w:tplc="30F0AF7C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hAnsi="Arial" w:hint="default"/>
      </w:rPr>
    </w:lvl>
    <w:lvl w:ilvl="8" w:tentative="1" w:tplc="A78AE50E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hAnsi="Arial" w:hint="default"/>
      </w:rPr>
    </w:lvl>
  </w:abstractNum>
  <w:abstractNum w15:restartNumberingAfterBreak="0" w:abstractNumId="17">
    <w:nsid w:val="6F8AF586"/>
    <w:multiLevelType w:val="hybridMultilevel"/>
    <w:tmpl w:val="EB302F0E"/>
    <w:lvl w:ilvl="0" w:tplc="9A0EA9F4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8500DDFE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plc="FBAA5460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65BC6452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1C65996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plc="51EC2FD6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B13CF56E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12C8C828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plc="4F806B60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8">
    <w:nsid w:val="733E5B49"/>
    <w:multiLevelType w:val="hybridMultilevel"/>
    <w:tmpl w:val="8826A98C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9">
    <w:nsid w:val="753012FF"/>
    <w:multiLevelType w:val="multilevel"/>
    <w:tmpl w:val="0416001F"/>
    <w:styleLink w:val="Listaatual1"/>
    <w:lvl w:ilvl="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20">
    <w:nsid w:val="7840716E"/>
    <w:multiLevelType w:val="multilevel"/>
    <w:tmpl w:val="0416001F"/>
    <w:lvl w:ilvl="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21">
    <w:nsid w:val="7CD83A0B"/>
    <w:multiLevelType w:val="hybridMultilevel"/>
    <w:tmpl w:val="D2B27006"/>
    <w:lvl w:ilvl="0" w:tplc="10C2208A">
      <w:start w:val="1"/>
      <w:numFmt w:val="lowerLetter"/>
      <w:lvlText w:val="%1)"/>
      <w:lvlJc w:val="left"/>
      <w:pPr>
        <w:ind w:left="71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9DEAA618">
      <w:start w:val="1"/>
      <w:numFmt w:val="lowerLetter"/>
      <w:lvlText w:val="%2"/>
      <w:lvlJc w:val="left"/>
      <w:pPr>
        <w:ind w:left="17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8300FDCA">
      <w:start w:val="1"/>
      <w:numFmt w:val="lowerRoman"/>
      <w:lvlText w:val="%3"/>
      <w:lvlJc w:val="left"/>
      <w:pPr>
        <w:ind w:left="25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FBFA363A">
      <w:start w:val="1"/>
      <w:numFmt w:val="decimal"/>
      <w:lvlText w:val="%4"/>
      <w:lvlJc w:val="left"/>
      <w:pPr>
        <w:ind w:left="32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9CAE5960">
      <w:start w:val="1"/>
      <w:numFmt w:val="lowerLetter"/>
      <w:lvlText w:val="%5"/>
      <w:lvlJc w:val="left"/>
      <w:pPr>
        <w:ind w:left="394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54EC5AE2">
      <w:start w:val="1"/>
      <w:numFmt w:val="lowerRoman"/>
      <w:lvlText w:val="%6"/>
      <w:lvlJc w:val="left"/>
      <w:pPr>
        <w:ind w:left="46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0C58E226">
      <w:start w:val="1"/>
      <w:numFmt w:val="decimal"/>
      <w:lvlText w:val="%7"/>
      <w:lvlJc w:val="left"/>
      <w:pPr>
        <w:ind w:left="53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475AB67A">
      <w:start w:val="1"/>
      <w:numFmt w:val="lowerLetter"/>
      <w:lvlText w:val="%8"/>
      <w:lvlJc w:val="left"/>
      <w:pPr>
        <w:ind w:left="61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D3529C66">
      <w:start w:val="1"/>
      <w:numFmt w:val="lowerRoman"/>
      <w:lvlText w:val="%9"/>
      <w:lvlJc w:val="left"/>
      <w:pPr>
        <w:ind w:left="68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721">
    <w:nsid w:val="00A99721"/>
    <w:multiLevelType w:val="multilevel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16cid:durableId="34041749" w:numId="1">
    <w:abstractNumId w:val="8"/>
  </w:num>
  <w:num w16cid:durableId="437141820" w:numId="2">
    <w:abstractNumId w:val="10"/>
  </w:num>
  <w:num w16cid:durableId="513345485" w:numId="3">
    <w:abstractNumId w:val="18"/>
  </w:num>
  <w:num w16cid:durableId="799608903" w:numId="4">
    <w:abstractNumId w:val="12"/>
  </w:num>
  <w:num w16cid:durableId="1809201182" w:numId="5">
    <w:abstractNumId w:val="0"/>
  </w:num>
  <w:num w16cid:durableId="1916545807" w:numId="6">
    <w:abstractNumId w:val="16"/>
  </w:num>
  <w:num w16cid:durableId="703601831" w:numId="7">
    <w:abstractNumId w:val="7"/>
  </w:num>
  <w:num w16cid:durableId="830366848" w:numId="8">
    <w:abstractNumId w:val="13"/>
  </w:num>
  <w:num w16cid:durableId="652489853" w:numId="9">
    <w:abstractNumId w:val="15"/>
  </w:num>
  <w:num w16cid:durableId="745034801" w:numId="10">
    <w:abstractNumId w:val="5"/>
  </w:num>
  <w:num w16cid:durableId="946236371" w:numId="11">
    <w:abstractNumId w:val="20"/>
  </w:num>
  <w:num w16cid:durableId="1077435689" w:numId="12">
    <w:abstractNumId w:val="1"/>
  </w:num>
  <w:num w16cid:durableId="1606887215" w:numId="13">
    <w:abstractNumId w:val="6"/>
  </w:num>
  <w:num w16cid:durableId="1660310808" w:numId="14">
    <w:abstractNumId w:val="17"/>
  </w:num>
  <w:num w16cid:durableId="1386762312" w:numId="15">
    <w:abstractNumId w:val="11"/>
  </w:num>
  <w:num w16cid:durableId="116416301" w:numId="16">
    <w:abstractNumId w:val="19"/>
  </w:num>
  <w:num w16cid:durableId="1454323442" w:numId="17">
    <w:abstractNumId w:val="4"/>
  </w:num>
  <w:num w16cid:durableId="2141679060" w:numId="18">
    <w:abstractNumId w:val="3"/>
  </w:num>
  <w:num w16cid:durableId="362752226" w:numId="19">
    <w:abstractNumId w:val="2"/>
  </w:num>
  <w:num w16cid:durableId="806820523" w:numId="20">
    <w:abstractNumId w:val="21"/>
  </w:num>
  <w:num w16cid:durableId="1032346858" w:numId="21">
    <w:abstractNumId w:val="9"/>
  </w:num>
  <w:num w16cid:durableId="1223714964" w:numId="22">
    <w:abstractNumId w:val="14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19"/>
    <w:rsid w:val="00006117"/>
    <w:rsid w:val="000079EA"/>
    <w:rsid w:val="00027D08"/>
    <w:rsid w:val="00033474"/>
    <w:rsid w:val="000429D6"/>
    <w:rsid w:val="00064D00"/>
    <w:rsid w:val="000766C6"/>
    <w:rsid w:val="00082217"/>
    <w:rsid w:val="00086D6F"/>
    <w:rsid w:val="0009140F"/>
    <w:rsid w:val="00091FAD"/>
    <w:rsid w:val="000A1C0A"/>
    <w:rsid w:val="000B3121"/>
    <w:rsid w:val="000B373A"/>
    <w:rsid w:val="000B60DC"/>
    <w:rsid w:val="00105A00"/>
    <w:rsid w:val="00110460"/>
    <w:rsid w:val="00113F8D"/>
    <w:rsid w:val="00114948"/>
    <w:rsid w:val="001156ED"/>
    <w:rsid w:val="00121B6F"/>
    <w:rsid w:val="00125C5B"/>
    <w:rsid w:val="00127CAB"/>
    <w:rsid w:val="00145229"/>
    <w:rsid w:val="00152BC3"/>
    <w:rsid w:val="00164E11"/>
    <w:rsid w:val="00165B90"/>
    <w:rsid w:val="001669F8"/>
    <w:rsid w:val="001A25CE"/>
    <w:rsid w:val="001B575A"/>
    <w:rsid w:val="001B5BB9"/>
    <w:rsid w:val="001B6355"/>
    <w:rsid w:val="001B7203"/>
    <w:rsid w:val="001D5F73"/>
    <w:rsid w:val="001F0C86"/>
    <w:rsid w:val="001F174E"/>
    <w:rsid w:val="001F532D"/>
    <w:rsid w:val="001F67CC"/>
    <w:rsid w:val="001F6B11"/>
    <w:rsid w:val="00200D22"/>
    <w:rsid w:val="00205284"/>
    <w:rsid w:val="0020623B"/>
    <w:rsid w:val="002103C9"/>
    <w:rsid w:val="00210519"/>
    <w:rsid w:val="002116F9"/>
    <w:rsid w:val="002322A9"/>
    <w:rsid w:val="00241175"/>
    <w:rsid w:val="00257C8E"/>
    <w:rsid w:val="002647FA"/>
    <w:rsid w:val="00270AAE"/>
    <w:rsid w:val="00280782"/>
    <w:rsid w:val="002D1E91"/>
    <w:rsid w:val="002D7B90"/>
    <w:rsid w:val="002F741D"/>
    <w:rsid w:val="003025D3"/>
    <w:rsid w:val="00310500"/>
    <w:rsid w:val="00311220"/>
    <w:rsid w:val="00331D2B"/>
    <w:rsid w:val="003612A1"/>
    <w:rsid w:val="0037144B"/>
    <w:rsid w:val="00380A63"/>
    <w:rsid w:val="003D1AE1"/>
    <w:rsid w:val="003D466B"/>
    <w:rsid w:val="003E3B49"/>
    <w:rsid w:val="003F0A2C"/>
    <w:rsid w:val="003F3B54"/>
    <w:rsid w:val="003F50D3"/>
    <w:rsid w:val="003F5B33"/>
    <w:rsid w:val="004008EE"/>
    <w:rsid w:val="00410B7B"/>
    <w:rsid w:val="00420289"/>
    <w:rsid w:val="00423AB6"/>
    <w:rsid w:val="00437158"/>
    <w:rsid w:val="00440B48"/>
    <w:rsid w:val="004457D2"/>
    <w:rsid w:val="00455F1C"/>
    <w:rsid w:val="00460CA0"/>
    <w:rsid w:val="00475C17"/>
    <w:rsid w:val="00491089"/>
    <w:rsid w:val="0049140E"/>
    <w:rsid w:val="004B11A8"/>
    <w:rsid w:val="004B551C"/>
    <w:rsid w:val="004C41B6"/>
    <w:rsid w:val="004E789C"/>
    <w:rsid w:val="00541381"/>
    <w:rsid w:val="00575053"/>
    <w:rsid w:val="0058581A"/>
    <w:rsid w:val="00586ACC"/>
    <w:rsid w:val="005954BE"/>
    <w:rsid w:val="005A48B8"/>
    <w:rsid w:val="005C0577"/>
    <w:rsid w:val="005C6CE1"/>
    <w:rsid w:val="005D5012"/>
    <w:rsid w:val="005D5FF1"/>
    <w:rsid w:val="005E5298"/>
    <w:rsid w:val="005E78E2"/>
    <w:rsid w:val="005F2257"/>
    <w:rsid w:val="00603290"/>
    <w:rsid w:val="006065FE"/>
    <w:rsid w:val="006109E5"/>
    <w:rsid w:val="00626046"/>
    <w:rsid w:val="00652AA0"/>
    <w:rsid w:val="00652C41"/>
    <w:rsid w:val="00653F1C"/>
    <w:rsid w:val="006626C0"/>
    <w:rsid w:val="00665A82"/>
    <w:rsid w:val="006741C1"/>
    <w:rsid w:val="006A13D7"/>
    <w:rsid w:val="006B5BFC"/>
    <w:rsid w:val="006B5CE8"/>
    <w:rsid w:val="006C06D1"/>
    <w:rsid w:val="006C0DDF"/>
    <w:rsid w:val="006D2041"/>
    <w:rsid w:val="006D767F"/>
    <w:rsid w:val="006F6ACD"/>
    <w:rsid w:val="006F7FCE"/>
    <w:rsid w:val="0071121B"/>
    <w:rsid w:val="00720052"/>
    <w:rsid w:val="0073453D"/>
    <w:rsid w:val="007848CE"/>
    <w:rsid w:val="007A0C31"/>
    <w:rsid w:val="007B0A19"/>
    <w:rsid w:val="007B0F40"/>
    <w:rsid w:val="007B7812"/>
    <w:rsid w:val="007D1733"/>
    <w:rsid w:val="0080449D"/>
    <w:rsid w:val="00812D04"/>
    <w:rsid w:val="00862000"/>
    <w:rsid w:val="00871160"/>
    <w:rsid w:val="0087483C"/>
    <w:rsid w:val="008821D8"/>
    <w:rsid w:val="00884334"/>
    <w:rsid w:val="008904A7"/>
    <w:rsid w:val="00890E3A"/>
    <w:rsid w:val="00890F68"/>
    <w:rsid w:val="008B09DC"/>
    <w:rsid w:val="008B0B0E"/>
    <w:rsid w:val="008B3CB6"/>
    <w:rsid w:val="008C6197"/>
    <w:rsid w:val="008E198D"/>
    <w:rsid w:val="00907223"/>
    <w:rsid w:val="009212B6"/>
    <w:rsid w:val="009303D3"/>
    <w:rsid w:val="00933DAA"/>
    <w:rsid w:val="009447A5"/>
    <w:rsid w:val="00955271"/>
    <w:rsid w:val="00960E98"/>
    <w:rsid w:val="00972868"/>
    <w:rsid w:val="00974AAA"/>
    <w:rsid w:val="0097656F"/>
    <w:rsid w:val="0098001D"/>
    <w:rsid w:val="0098559E"/>
    <w:rsid w:val="00990736"/>
    <w:rsid w:val="00991A38"/>
    <w:rsid w:val="00991C61"/>
    <w:rsid w:val="00996E23"/>
    <w:rsid w:val="009D17DD"/>
    <w:rsid w:val="009D4135"/>
    <w:rsid w:val="00A13E87"/>
    <w:rsid w:val="00A16265"/>
    <w:rsid w:val="00A20D9C"/>
    <w:rsid w:val="00A304C4"/>
    <w:rsid w:val="00A51F4E"/>
    <w:rsid w:val="00A57FE1"/>
    <w:rsid w:val="00A822A8"/>
    <w:rsid w:val="00A85C99"/>
    <w:rsid w:val="00A9547C"/>
    <w:rsid w:val="00AD7EBC"/>
    <w:rsid w:val="00AF32A3"/>
    <w:rsid w:val="00B22044"/>
    <w:rsid w:val="00B25EC8"/>
    <w:rsid w:val="00B26030"/>
    <w:rsid w:val="00B73410"/>
    <w:rsid w:val="00B80FE6"/>
    <w:rsid w:val="00B82D72"/>
    <w:rsid w:val="00BB4855"/>
    <w:rsid w:val="00BB4DF7"/>
    <w:rsid w:val="00BE0AEF"/>
    <w:rsid w:val="00BE6EBE"/>
    <w:rsid w:val="00BE7991"/>
    <w:rsid w:val="00C016AF"/>
    <w:rsid w:val="00C04668"/>
    <w:rsid w:val="00C1479E"/>
    <w:rsid w:val="00C21690"/>
    <w:rsid w:val="00C31C7F"/>
    <w:rsid w:val="00C46C6C"/>
    <w:rsid w:val="00C53433"/>
    <w:rsid w:val="00C82BD9"/>
    <w:rsid w:val="00C84B57"/>
    <w:rsid w:val="00CA29FF"/>
    <w:rsid w:val="00CC49FA"/>
    <w:rsid w:val="00CE7166"/>
    <w:rsid w:val="00CF1368"/>
    <w:rsid w:val="00D13509"/>
    <w:rsid w:val="00D21037"/>
    <w:rsid w:val="00D25C28"/>
    <w:rsid w:val="00D36DD8"/>
    <w:rsid w:val="00D5457E"/>
    <w:rsid w:val="00D74E68"/>
    <w:rsid w:val="00D87426"/>
    <w:rsid w:val="00D97953"/>
    <w:rsid w:val="00DA4B8D"/>
    <w:rsid w:val="00DA7B31"/>
    <w:rsid w:val="00DC4E81"/>
    <w:rsid w:val="00DC5D4B"/>
    <w:rsid w:val="00DC74BC"/>
    <w:rsid w:val="00DD033B"/>
    <w:rsid w:val="00DD042A"/>
    <w:rsid w:val="00DD74EE"/>
    <w:rsid w:val="00DF200F"/>
    <w:rsid w:val="00E16655"/>
    <w:rsid w:val="00E46DCF"/>
    <w:rsid w:val="00E51B9F"/>
    <w:rsid w:val="00E66EA9"/>
    <w:rsid w:val="00E939B7"/>
    <w:rsid w:val="00EA0C73"/>
    <w:rsid w:val="00EA6CCD"/>
    <w:rsid w:val="00EF7ACB"/>
    <w:rsid w:val="00F007CE"/>
    <w:rsid w:val="00F806A7"/>
    <w:rsid w:val="00F870F9"/>
    <w:rsid w:val="00F94343"/>
    <w:rsid w:val="00F95C60"/>
    <w:rsid w:val="00F97153"/>
    <w:rsid w:val="00FA52DD"/>
    <w:rsid w:val="00FB28BD"/>
    <w:rsid w:val="00FB4756"/>
    <w:rsid w:val="00FC69E5"/>
    <w:rsid w:val="00FC7BA5"/>
    <w:rsid w:val="00FD4F34"/>
    <w:rsid w:val="00FF070C"/>
    <w:rsid w:val="10E1E5DB"/>
    <w:rsid w:val="1F8B474F"/>
  </w:rsids>
  <w:themeFontLang w:bidi="ar-SA" w:eastAsia="ja-JP" w:val="pt-BR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Arial" w:eastAsia="Arial" w:hAnsi="Arial"/>
        <w:sz w:val="24"/>
        <w:szCs w:val="24"/>
        <w:lang w:bidi="ar-SA" w:eastAsia="pt-BR" w:val="pt-BR"/>
      </w:rPr>
    </w:rPrDefault>
    <w:pPrDefault>
      <w:pPr>
        <w:spacing w:line="276" w:lineRule="auto"/>
        <w:jc w:val="both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link w:val="Ttulo1Char"/>
    <w:uiPriority w:val="9"/>
    <w:qFormat/>
    <w:pPr>
      <w:keepNext/>
      <w:keepLines/>
      <w:ind w:right="139"/>
      <w:outlineLvl w:val="0"/>
    </w:pPr>
    <w:rPr>
      <w:b/>
      <w:sz w:val="28"/>
      <w:szCs w:val="28"/>
    </w:rPr>
  </w:style>
  <w:style w:styleId="Ttulo2" w:type="paragraph">
    <w:name w:val="heading 2"/>
    <w:basedOn w:val="Normal"/>
    <w:next w:val="Normal"/>
    <w:uiPriority w:val="9"/>
    <w:unhideWhenUsed/>
    <w:qFormat/>
    <w:pPr>
      <w:keepNext/>
      <w:keepLines/>
      <w:spacing w:after="120" w:before="360" w:line="240" w:lineRule="auto"/>
      <w:outlineLvl w:val="1"/>
    </w:pPr>
    <w:rPr>
      <w:b/>
      <w:sz w:val="28"/>
      <w:szCs w:val="28"/>
    </w:rPr>
  </w:style>
  <w:style w:styleId="Ttulo3" w:type="paragraph">
    <w:name w:val="heading 3"/>
    <w:basedOn w:val="Normal"/>
    <w:next w:val="Normal"/>
    <w:uiPriority w:val="9"/>
    <w:unhideWhenUsed/>
    <w:qFormat/>
    <w:rsid w:val="00991C61"/>
    <w:pPr>
      <w:keepNext/>
      <w:keepLines/>
      <w:spacing w:after="80" w:before="320"/>
      <w:outlineLvl w:val="2"/>
    </w:pPr>
    <w:rPr>
      <w:b/>
      <w:color w:themeColor="text1" w:val="000000"/>
      <w:sz w:val="28"/>
      <w:szCs w:val="28"/>
    </w:rPr>
  </w:style>
  <w:style w:styleId="Ttulo4" w:type="paragraph">
    <w:name w:val="heading 4"/>
    <w:basedOn w:val="Normal"/>
    <w:next w:val="Normal"/>
    <w:uiPriority w:val="9"/>
    <w:unhideWhenUsed/>
    <w:qFormat/>
    <w:rsid w:val="00991C61"/>
    <w:pPr>
      <w:keepNext/>
      <w:keepLines/>
      <w:spacing w:after="80" w:before="280"/>
      <w:outlineLvl w:val="3"/>
    </w:pPr>
    <w:rPr>
      <w:b/>
      <w:color w:themeColor="text1" w:val="000000"/>
      <w:sz w:val="28"/>
    </w:rPr>
  </w:style>
  <w:style w:styleId="Ttulo5" w:type="paragraph">
    <w:name w:val="heading 5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4"/>
    </w:pPr>
    <w:rPr>
      <w:color w:val="666666"/>
      <w:sz w:val="22"/>
      <w:szCs w:val="22"/>
    </w:rPr>
  </w:style>
  <w:style w:styleId="Ttulo6" w:type="paragraph">
    <w:name w:val="heading 6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5"/>
    </w:pPr>
    <w:rPr>
      <w:i/>
      <w:color w:val="666666"/>
      <w:sz w:val="22"/>
      <w:szCs w:val="22"/>
    </w:rPr>
  </w:style>
  <w:style w:default="1" w:styleId="Fontepargpadro" w:type="character">
    <w:name w:val="Default Paragraph Font"/>
    <w:uiPriority w:val="1"/>
    <w:semiHidden/>
    <w:unhideWhenUsed/>
  </w:style>
  <w:style w:default="1" w:styleId="Tabe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emlista" w:type="numbering">
    <w:name w:val="No List"/>
    <w:uiPriority w:val="99"/>
    <w:semiHidden/>
    <w:unhideWhenUsed/>
  </w:style>
  <w:style w:styleId="Ttulo" w:type="paragraph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styleId="Subttulo" w:type="paragraph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customStyle="1" w:styleId="a" w:type="table">
    <w:basedOn w:val="Tabela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customStyle="1" w:styleId="a0" w:type="table">
    <w:basedOn w:val="Tabela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customStyle="1" w:styleId="a1" w:type="table">
    <w:basedOn w:val="Tabelanormal"/>
    <w:tblPr>
      <w:tblStyleRowBandSize w:val="1"/>
      <w:tblStyleColBandSize w:val="1"/>
      <w:tblInd w:type="nil" w:w="0"/>
      <w:tblCellMar>
        <w:top w:type="dxa" w:w="100"/>
        <w:left w:type="dxa" w:w="100"/>
        <w:bottom w:type="dxa" w:w="100"/>
        <w:right w:type="dxa" w:w="100"/>
      </w:tblCellMar>
    </w:tblPr>
  </w:style>
  <w:style w:customStyle="1" w:styleId="a2" w:type="table">
    <w:basedOn w:val="Tabelanormal"/>
    <w:tblPr>
      <w:tblStyleRowBandSize w:val="1"/>
      <w:tblStyleColBandSize w:val="1"/>
      <w:tblInd w:type="nil" w:w="0"/>
      <w:tblCellMar>
        <w:top w:type="dxa" w:w="100"/>
        <w:left w:type="dxa" w:w="100"/>
        <w:bottom w:type="dxa" w:w="100"/>
        <w:right w:type="dxa" w:w="100"/>
      </w:tblCellMar>
    </w:tblPr>
  </w:style>
  <w:style w:styleId="Cabealho" w:type="paragraph">
    <w:name w:val="header"/>
    <w:basedOn w:val="Normal"/>
    <w:link w:val="CabealhoChar"/>
    <w:uiPriority w:val="99"/>
    <w:unhideWhenUsed/>
    <w:rsid w:val="001F174E"/>
    <w:pPr>
      <w:tabs>
        <w:tab w:pos="4252" w:val="center"/>
        <w:tab w:pos="8504" w:val="right"/>
      </w:tabs>
      <w:spacing w:line="240" w:lineRule="auto"/>
    </w:pPr>
  </w:style>
  <w:style w:customStyle="1" w:styleId="CabealhoChar" w:type="character">
    <w:name w:val="Cabeçalho Char"/>
    <w:basedOn w:val="Fontepargpadro"/>
    <w:link w:val="Cabealho"/>
    <w:uiPriority w:val="99"/>
    <w:rsid w:val="001F174E"/>
  </w:style>
  <w:style w:styleId="Rodap" w:type="paragraph">
    <w:name w:val="footer"/>
    <w:basedOn w:val="Normal"/>
    <w:link w:val="RodapChar"/>
    <w:uiPriority w:val="99"/>
    <w:unhideWhenUsed/>
    <w:rsid w:val="001F174E"/>
    <w:pPr>
      <w:tabs>
        <w:tab w:pos="4252" w:val="center"/>
        <w:tab w:pos="8504" w:val="right"/>
      </w:tabs>
      <w:spacing w:line="240" w:lineRule="auto"/>
    </w:pPr>
  </w:style>
  <w:style w:customStyle="1" w:styleId="RodapChar" w:type="character">
    <w:name w:val="Rodapé Char"/>
    <w:basedOn w:val="Fontepargpadro"/>
    <w:link w:val="Rodap"/>
    <w:uiPriority w:val="99"/>
    <w:rsid w:val="001F174E"/>
  </w:style>
  <w:style w:styleId="PargrafodaLista" w:type="paragraph">
    <w:name w:val="List Paragraph"/>
    <w:basedOn w:val="Normal"/>
    <w:uiPriority w:val="34"/>
    <w:qFormat/>
    <w:rsid w:val="001F174E"/>
    <w:pPr>
      <w:ind w:left="720"/>
      <w:contextualSpacing/>
    </w:pPr>
  </w:style>
  <w:style w:styleId="Sumrio1" w:type="paragraph">
    <w:name w:val="toc 1"/>
    <w:basedOn w:val="Normal"/>
    <w:next w:val="Normal"/>
    <w:autoRedefine/>
    <w:uiPriority w:val="39"/>
    <w:unhideWhenUsed/>
    <w:rsid w:val="001F174E"/>
    <w:pPr>
      <w:spacing w:after="100"/>
    </w:pPr>
  </w:style>
  <w:style w:styleId="Hyperlink" w:type="character">
    <w:name w:val="Hyperlink"/>
    <w:basedOn w:val="Fontepargpadro"/>
    <w:uiPriority w:val="99"/>
    <w:unhideWhenUsed/>
    <w:rsid w:val="001F174E"/>
    <w:rPr>
      <w:color w:themeColor="hyperlink" w:val="0000FF"/>
      <w:u w:val="single"/>
    </w:rPr>
  </w:style>
  <w:style w:styleId="Sumrio2" w:type="paragraph">
    <w:name w:val="toc 2"/>
    <w:basedOn w:val="Normal"/>
    <w:next w:val="Normal"/>
    <w:autoRedefine/>
    <w:uiPriority w:val="39"/>
    <w:unhideWhenUsed/>
    <w:rsid w:val="00437158"/>
    <w:pPr>
      <w:spacing w:after="100"/>
      <w:ind w:left="240"/>
    </w:pPr>
  </w:style>
  <w:style w:styleId="SemEspaamento" w:type="paragraph">
    <w:name w:val="No Spacing"/>
    <w:link w:val="SemEspaamentoChar"/>
    <w:uiPriority w:val="1"/>
    <w:qFormat/>
    <w:rsid w:val="00541381"/>
    <w:pPr>
      <w:spacing w:line="240" w:lineRule="auto"/>
      <w:jc w:val="left"/>
    </w:pPr>
    <w:rPr>
      <w:rFonts w:asciiTheme="minorHAnsi" w:cstheme="minorBidi" w:eastAsiaTheme="minorEastAsia" w:hAnsiTheme="minorHAnsi"/>
      <w:sz w:val="22"/>
      <w:szCs w:val="22"/>
    </w:rPr>
  </w:style>
  <w:style w:customStyle="1" w:styleId="SemEspaamentoChar" w:type="character">
    <w:name w:val="Sem Espaçamento Char"/>
    <w:basedOn w:val="Fontepargpadro"/>
    <w:link w:val="SemEspaamento"/>
    <w:uiPriority w:val="1"/>
    <w:rsid w:val="00541381"/>
    <w:rPr>
      <w:rFonts w:asciiTheme="minorHAnsi" w:cstheme="minorBidi" w:eastAsiaTheme="minorEastAsia" w:hAnsiTheme="minorHAnsi"/>
      <w:sz w:val="22"/>
      <w:szCs w:val="22"/>
    </w:rPr>
  </w:style>
  <w:style w:styleId="TextodoEspaoReservado" w:type="character">
    <w:name w:val="Placeholder Text"/>
    <w:basedOn w:val="Fontepargpadro"/>
    <w:uiPriority w:val="99"/>
    <w:semiHidden/>
    <w:rsid w:val="006B5BFC"/>
    <w:rPr>
      <w:color w:val="666666"/>
    </w:rPr>
  </w:style>
  <w:style w:styleId="Sumrio3" w:type="paragraph">
    <w:name w:val="toc 3"/>
    <w:basedOn w:val="Normal"/>
    <w:next w:val="Normal"/>
    <w:autoRedefine/>
    <w:uiPriority w:val="39"/>
    <w:unhideWhenUsed/>
    <w:rsid w:val="00991C61"/>
    <w:pPr>
      <w:spacing w:after="100"/>
      <w:ind w:left="480"/>
    </w:pPr>
  </w:style>
  <w:style w:styleId="Sumrio4" w:type="paragraph">
    <w:name w:val="toc 4"/>
    <w:basedOn w:val="Normal"/>
    <w:next w:val="Normal"/>
    <w:autoRedefine/>
    <w:uiPriority w:val="39"/>
    <w:unhideWhenUsed/>
    <w:rsid w:val="00991C61"/>
    <w:pPr>
      <w:spacing w:after="100"/>
      <w:ind w:left="720"/>
    </w:pPr>
  </w:style>
  <w:style w:customStyle="1" w:styleId="font241" w:type="character">
    <w:name w:val="font241"/>
    <w:basedOn w:val="Fontepargpadro"/>
    <w:rsid w:val="00127CAB"/>
    <w:rPr>
      <w:rFonts w:ascii="Calibri" w:cs="Calibri" w:hAnsi="Calibri" w:hint="default"/>
      <w:b w:val="0"/>
      <w:bCs w:val="0"/>
      <w:i w:val="0"/>
      <w:iCs w:val="0"/>
      <w:strike w:val="0"/>
      <w:dstrike w:val="0"/>
      <w:color w:val="404040"/>
      <w:sz w:val="20"/>
      <w:szCs w:val="20"/>
      <w:u w:val="none"/>
      <w:effect w:val="none"/>
    </w:rPr>
  </w:style>
  <w:style w:customStyle="1" w:styleId="SubtituloTimbrado" w:type="paragraph">
    <w:name w:val="Subtitulo Timbrado"/>
    <w:basedOn w:val="Subttulo"/>
    <w:link w:val="SubtituloTimbradoChar"/>
    <w:qFormat/>
    <w:rsid w:val="00652AA0"/>
    <w:pPr>
      <w:keepNext w:val="0"/>
      <w:keepLines w:val="0"/>
      <w:spacing w:after="60" w:line="240" w:lineRule="auto"/>
      <w:jc w:val="left"/>
      <w:outlineLvl w:val="1"/>
    </w:pPr>
    <w:rPr>
      <w:rFonts w:ascii="Cambria" w:cs="Times New Roman" w:eastAsia="Times New Roman" w:hAnsi="Cambria"/>
      <w:color w:val="auto"/>
      <w:sz w:val="24"/>
      <w:szCs w:val="24"/>
      <w:lang w:eastAsia="en-US"/>
    </w:rPr>
  </w:style>
  <w:style w:customStyle="1" w:styleId="SubtituloTimbradoChar" w:type="character">
    <w:name w:val="Subtitulo Timbrado Char"/>
    <w:link w:val="SubtituloTimbrado"/>
    <w:rsid w:val="00652AA0"/>
    <w:rPr>
      <w:rFonts w:ascii="Cambria" w:cs="Times New Roman" w:eastAsia="Times New Roman" w:hAnsi="Cambria"/>
      <w:lang w:eastAsia="en-US"/>
    </w:rPr>
  </w:style>
  <w:style w:customStyle="1" w:styleId="normaltextrun" w:type="character">
    <w:name w:val="normaltextrun"/>
    <w:basedOn w:val="Fontepargpadro"/>
    <w:uiPriority w:val="1"/>
    <w:rsid w:val="00FC7BA5"/>
  </w:style>
  <w:style w:customStyle="1" w:styleId="Ttulo1Char" w:type="character">
    <w:name w:val="Título 1 Char"/>
    <w:basedOn w:val="Fontepargpadro"/>
    <w:link w:val="Ttulo1"/>
    <w:uiPriority w:val="9"/>
    <w:rsid w:val="00FC69E5"/>
    <w:rPr>
      <w:b/>
      <w:sz w:val="28"/>
      <w:szCs w:val="28"/>
    </w:rPr>
  </w:style>
  <w:style w:customStyle="1" w:styleId="paragraph" w:type="paragraph">
    <w:name w:val="paragraph"/>
    <w:basedOn w:val="Normal"/>
    <w:uiPriority w:val="1"/>
    <w:rsid w:val="00626046"/>
    <w:pPr>
      <w:spacing w:after="160" w:afterAutospacing="1" w:beforeAutospacing="1" w:line="240" w:lineRule="auto"/>
      <w:jc w:val="left"/>
    </w:pPr>
    <w:rPr>
      <w:rFonts w:ascii="Times New Roman" w:cs="Times New Roman" w:eastAsia="Times New Roman" w:hAnsi="Times New Roman"/>
    </w:rPr>
  </w:style>
  <w:style w:customStyle="1" w:styleId="Listaatual1" w:type="numbering">
    <w:name w:val="Lista atual1"/>
    <w:uiPriority w:val="99"/>
    <w:rsid w:val="005C0577"/>
    <w:pPr>
      <w:numPr>
        <w:numId w:val="16"/>
      </w:numPr>
    </w:pPr>
  </w:style>
  <w:style w:customStyle="1" w:styleId="Listaatual2" w:type="numbering">
    <w:name w:val="Lista atual2"/>
    <w:uiPriority w:val="99"/>
    <w:rsid w:val="005C0577"/>
    <w:pPr>
      <w:numPr>
        <w:numId w:val="17"/>
      </w:numPr>
    </w:pPr>
  </w:style>
  <w:style w:styleId="Tabelacomgrade" w:type="table">
    <w:name w:val="Table Grid"/>
    <w:basedOn w:val="Tabelanormal"/>
    <w:uiPriority w:val="39"/>
    <w:rsid w:val="00C82BD9"/>
    <w:pPr>
      <w:spacing w:line="240" w:lineRule="auto"/>
      <w:jc w:val="left"/>
    </w:pPr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Normal1" w:type="table">
    <w:name w:val="Table Normal1"/>
    <w:rsid w:val="00EA0C73"/>
    <w:tblPr>
      <w:tblCellMar>
        <w:top w:type="dxa" w:w="0"/>
        <w:left w:type="dxa" w:w="0"/>
        <w:bottom w:type="dxa" w:w="0"/>
        <w:right w:type="dxa" w:w="0"/>
      </w:tblCellMar>
    </w:tblPr>
  </w:style>
  <w:style w:styleId="MenoPendente" w:type="character">
    <w:name w:val="Unresolved Mention"/>
    <w:basedOn w:val="Fontepargpadro"/>
    <w:uiPriority w:val="99"/>
    <w:semiHidden/>
    <w:unhideWhenUsed/>
    <w:rsid w:val="009212B6"/>
    <w:rPr>
      <w:color w:val="605E5C"/>
      <w:shd w:color="auto" w:fill="E1DFDD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91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3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1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30" Target="numbering.xml" /><Relationship Type="http://schemas.openxmlformats.org/officeDocument/2006/relationships/styles" Id="rId29" Target="styles.xml" /><Relationship Type="http://schemas.openxmlformats.org/officeDocument/2006/relationships/settings" Id="rId28" Target="settings.xml" /><Relationship Type="http://schemas.openxmlformats.org/officeDocument/2006/relationships/webSettings" Id="rId27" Target="webSettings.xml" /><Relationship Type="http://schemas.openxmlformats.org/officeDocument/2006/relationships/fontTable" Id="rId26" Target="fontTable.xml" /><Relationship Type="http://schemas.openxmlformats.org/officeDocument/2006/relationships/theme" Id="rId25" Target="theme/theme1.xml" /><Relationship Type="http://schemas.openxmlformats.org/officeDocument/2006/relationships/footnotes" Id="rId24" Target="footnotes.xml" /><Relationship Type="http://schemas.openxmlformats.org/officeDocument/2006/relationships/comments" Id="rId23" Target="comments.xml" /><Relationship Id="rId21" Target="header2.xml" Type="http://schemas.openxmlformats.org/officeDocument/2006/relationships/header" /><Relationship Id="rId12" Target="media/image1.jpeg" Type="http://schemas.openxmlformats.org/officeDocument/2006/relationships/image" /><Relationship Id="rId20" Target="footer1.xml" Type="http://schemas.openxmlformats.org/officeDocument/2006/relationships/footer" /><Relationship Id="rId19" Target="header1.xml" Type="http://schemas.openxmlformats.org/officeDocument/2006/relationships/header" /><Relationship Id="rId2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8041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Gestão de Chaves do Banco de Dados</dc:title>
  <dc:creator/>
  <cp:keywords/>
  <dcterms:created xsi:type="dcterms:W3CDTF">2026-05-25T16:14:37Z</dcterms:created>
  <dcterms:modified xsi:type="dcterms:W3CDTF">2026-05-25T16:14:37Z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